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1E6A09C4" w:rsidR="00C745FA" w:rsidRPr="0080506E" w:rsidRDefault="00A7623C" w:rsidP="00D659B9">
      <w:pPr>
        <w:jc w:val="both"/>
        <w:rPr>
          <w:rFonts w:ascii="Sylfaen" w:hAnsi="Sylfaen"/>
          <w:sz w:val="24"/>
          <w:lang w:val="ka-GE"/>
        </w:rPr>
      </w:pPr>
      <w:r>
        <w:rPr>
          <w:rFonts w:ascii="Sylfaen" w:hAnsi="Sylfaen"/>
          <w:sz w:val="24"/>
        </w:rPr>
        <w:t>4</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sidR="00873008">
        <w:rPr>
          <w:rFonts w:ascii="Sylfaen" w:hAnsi="Sylfaen"/>
          <w:b/>
          <w:bCs/>
          <w:sz w:val="24"/>
          <w:u w:val="single"/>
          <w:lang w:val="ka-GE"/>
        </w:rPr>
        <w:t>331</w:t>
      </w:r>
      <w:r w:rsidR="0080506E">
        <w:rPr>
          <w:rFonts w:ascii="Sylfaen" w:hAnsi="Sylfaen"/>
          <w:b/>
          <w:bCs/>
          <w:sz w:val="24"/>
          <w:u w:val="single"/>
          <w:lang w:val="ka-GE"/>
        </w:rPr>
        <w:t xml:space="preserve"> ნიმუში </w:t>
      </w:r>
      <w:r w:rsidR="00D339FD">
        <w:rPr>
          <w:rFonts w:ascii="Sylfaen" w:hAnsi="Sylfaen"/>
          <w:b/>
          <w:bCs/>
          <w:sz w:val="24"/>
          <w:u w:val="single"/>
        </w:rPr>
        <w:t xml:space="preserve"> </w:t>
      </w:r>
      <w:r w:rsidR="00123412">
        <w:rPr>
          <w:rFonts w:ascii="Sylfaen" w:hAnsi="Sylfaen"/>
          <w:b/>
          <w:sz w:val="24"/>
          <w:u w:val="single"/>
        </w:rPr>
        <w:t>(</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sidR="00873008">
        <w:rPr>
          <w:rFonts w:ascii="Sylfaen" w:hAnsi="Sylfaen"/>
          <w:b/>
          <w:sz w:val="24"/>
          <w:u w:val="single"/>
        </w:rPr>
        <w:t>105</w:t>
      </w:r>
      <w:r w:rsidR="00FB0A71">
        <w:rPr>
          <w:rFonts w:ascii="Sylfaen" w:hAnsi="Sylfaen"/>
          <w:b/>
          <w:sz w:val="24"/>
          <w:u w:val="single"/>
          <w:lang w:val="ka-GE"/>
        </w:rPr>
        <w:t>,</w:t>
      </w:r>
      <w:r w:rsidR="00FB0A71">
        <w:rPr>
          <w:rFonts w:ascii="Sylfaen" w:hAnsi="Sylfaen"/>
          <w:b/>
          <w:sz w:val="24"/>
          <w:u w:val="single"/>
        </w:rPr>
        <w:t xml:space="preserve"> </w:t>
      </w:r>
      <w:r w:rsidR="00623525" w:rsidRPr="00623525">
        <w:rPr>
          <w:rFonts w:ascii="Sylfaen" w:hAnsi="Sylfaen"/>
          <w:sz w:val="24"/>
          <w:lang w:val="ka-GE"/>
        </w:rPr>
        <w:t xml:space="preserve"> </w:t>
      </w:r>
      <w:r w:rsidR="001F50D3" w:rsidRPr="00DA7131">
        <w:rPr>
          <w:rFonts w:ascii="Sylfaen" w:hAnsi="Sylfaen"/>
          <w:sz w:val="24"/>
          <w:lang w:val="ka-GE"/>
        </w:rPr>
        <w:t>ბათუმი</w:t>
      </w:r>
      <w:r w:rsidR="001F50D3" w:rsidRPr="00DA7131">
        <w:rPr>
          <w:rFonts w:ascii="Sylfaen" w:hAnsi="Sylfaen"/>
          <w:b/>
          <w:sz w:val="24"/>
          <w:u w:val="single"/>
          <w:lang w:val="ka-GE"/>
        </w:rPr>
        <w:t xml:space="preserve"> </w:t>
      </w:r>
      <w:r w:rsidR="00873008">
        <w:rPr>
          <w:rFonts w:ascii="Sylfaen" w:hAnsi="Sylfaen"/>
          <w:b/>
          <w:sz w:val="24"/>
          <w:u w:val="single"/>
        </w:rPr>
        <w:t>166</w:t>
      </w:r>
      <w:r w:rsidR="00123412" w:rsidRPr="00DA7131">
        <w:rPr>
          <w:rFonts w:ascii="Sylfaen" w:hAnsi="Sylfaen"/>
          <w:b/>
          <w:sz w:val="24"/>
          <w:u w:val="single"/>
        </w:rPr>
        <w:t xml:space="preserve">, </w:t>
      </w:r>
      <w:r w:rsidR="00123412" w:rsidRPr="00123412">
        <w:rPr>
          <w:rFonts w:ascii="Sylfaen" w:hAnsi="Sylfaen"/>
          <w:bCs/>
          <w:sz w:val="24"/>
        </w:rPr>
        <w:t>ცენტრალური</w:t>
      </w:r>
      <w:r w:rsidR="00B42A45" w:rsidRPr="00DA7131">
        <w:rPr>
          <w:rFonts w:ascii="Sylfaen" w:hAnsi="Sylfaen"/>
          <w:sz w:val="24"/>
          <w:lang w:val="ka-GE"/>
        </w:rPr>
        <w:t xml:space="preserve"> ინფექციური საავადმყოფო </w:t>
      </w:r>
      <w:r w:rsidR="00873008">
        <w:rPr>
          <w:rFonts w:ascii="Sylfaen" w:hAnsi="Sylfaen"/>
          <w:b/>
          <w:sz w:val="24"/>
          <w:u w:val="single"/>
        </w:rPr>
        <w:t>64</w:t>
      </w:r>
      <w:r w:rsidR="00CF17F1">
        <w:rPr>
          <w:rFonts w:ascii="Sylfaen" w:hAnsi="Sylfaen"/>
          <w:b/>
          <w:sz w:val="24"/>
          <w:u w:val="single"/>
        </w:rPr>
        <w:t xml:space="preserve"> </w:t>
      </w:r>
      <w:r w:rsidR="001F50D3" w:rsidRPr="00DA7131">
        <w:rPr>
          <w:rFonts w:ascii="Sylfaen" w:hAnsi="Sylfaen"/>
          <w:sz w:val="24"/>
          <w:lang w:val="ka-GE"/>
        </w:rPr>
        <w:t>ნიმუში</w:t>
      </w:r>
      <w:r w:rsidR="00A87A2A">
        <w:rPr>
          <w:rFonts w:ascii="Sylfaen" w:hAnsi="Sylfaen"/>
          <w:sz w:val="24"/>
          <w:lang w:val="ka-GE"/>
        </w:rPr>
        <w:t xml:space="preserve"> </w:t>
      </w:r>
      <w:r w:rsidR="00873008">
        <w:rPr>
          <w:rFonts w:ascii="Sylfaen" w:hAnsi="Sylfaen"/>
          <w:sz w:val="24"/>
        </w:rPr>
        <w:t>10</w:t>
      </w:r>
      <w:r w:rsidR="0080506E">
        <w:rPr>
          <w:rFonts w:ascii="Sylfaen" w:hAnsi="Sylfaen"/>
          <w:sz w:val="24"/>
          <w:lang w:val="ka-GE"/>
        </w:rPr>
        <w:t xml:space="preserve"> განმეორებითი</w:t>
      </w:r>
      <w:r w:rsidR="00DA7C76">
        <w:rPr>
          <w:rFonts w:ascii="Sylfaen" w:hAnsi="Sylfaen"/>
          <w:sz w:val="24"/>
          <w:lang w:val="ka-GE"/>
        </w:rPr>
        <w:t>,</w:t>
      </w:r>
      <w:r w:rsidR="0080506E">
        <w:rPr>
          <w:rFonts w:ascii="Sylfaen" w:hAnsi="Sylfaen"/>
          <w:sz w:val="24"/>
          <w:lang w:val="ka-GE"/>
        </w:rPr>
        <w:t xml:space="preserve"> </w:t>
      </w:r>
      <w:r w:rsidR="00CF4330">
        <w:rPr>
          <w:rFonts w:ascii="Sylfaen" w:hAnsi="Sylfaen"/>
          <w:sz w:val="24"/>
          <w:lang w:val="ka-GE"/>
        </w:rPr>
        <w:t>კლინიკა ნეოლაბი</w:t>
      </w:r>
      <w:r w:rsidR="00B93FB9">
        <w:rPr>
          <w:rFonts w:ascii="Sylfaen" w:hAnsi="Sylfaen"/>
          <w:sz w:val="24"/>
          <w:lang w:val="ka-GE"/>
        </w:rPr>
        <w:t xml:space="preserve"> </w:t>
      </w:r>
      <w:r w:rsidR="00873008">
        <w:rPr>
          <w:rFonts w:ascii="Sylfaen" w:hAnsi="Sylfaen"/>
          <w:b/>
          <w:sz w:val="24"/>
          <w:u w:val="single"/>
          <w:lang w:val="ka-GE"/>
        </w:rPr>
        <w:t xml:space="preserve">16 </w:t>
      </w:r>
      <w:r w:rsidR="0080506E">
        <w:rPr>
          <w:rFonts w:ascii="Sylfaen" w:hAnsi="Sylfaen"/>
          <w:b/>
          <w:sz w:val="24"/>
        </w:rPr>
        <w:t xml:space="preserve"> </w:t>
      </w:r>
      <w:r w:rsidR="0080506E" w:rsidRPr="00390163">
        <w:rPr>
          <w:rFonts w:ascii="Sylfaen" w:hAnsi="Sylfaen"/>
          <w:sz w:val="24"/>
        </w:rPr>
        <w:t>ნიმუში</w:t>
      </w:r>
      <w:r w:rsidR="002C45BD">
        <w:rPr>
          <w:rFonts w:ascii="Sylfaen" w:hAnsi="Sylfaen"/>
          <w:sz w:val="24"/>
        </w:rPr>
        <w:t>,</w:t>
      </w:r>
      <w:r w:rsidR="00390163">
        <w:rPr>
          <w:rFonts w:ascii="Sylfaen" w:hAnsi="Sylfaen"/>
          <w:b/>
          <w:sz w:val="24"/>
        </w:rPr>
        <w:t xml:space="preserve"> </w:t>
      </w:r>
      <w:r w:rsidR="00873008">
        <w:rPr>
          <w:rFonts w:ascii="Sylfaen" w:hAnsi="Sylfaen"/>
          <w:sz w:val="24"/>
        </w:rPr>
        <w:t>8</w:t>
      </w:r>
      <w:r w:rsidR="00FB0A71">
        <w:rPr>
          <w:rFonts w:ascii="Sylfaen" w:hAnsi="Sylfaen"/>
          <w:sz w:val="24"/>
        </w:rPr>
        <w:t xml:space="preserve"> </w:t>
      </w:r>
      <w:r w:rsidR="0080506E" w:rsidRPr="00390163">
        <w:rPr>
          <w:rFonts w:ascii="Sylfaen" w:hAnsi="Sylfaen"/>
          <w:sz w:val="24"/>
        </w:rPr>
        <w:t>განმეორებითი</w:t>
      </w:r>
      <w:r w:rsidR="005D6B9B" w:rsidRPr="00390163">
        <w:rPr>
          <w:rFonts w:ascii="Sylfaen" w:hAnsi="Sylfaen"/>
          <w:sz w:val="24"/>
        </w:rPr>
        <w:t>,</w:t>
      </w:r>
      <w:r w:rsidR="005D6B9B">
        <w:rPr>
          <w:rFonts w:ascii="Sylfaen" w:hAnsi="Sylfaen"/>
          <w:b/>
          <w:sz w:val="24"/>
        </w:rPr>
        <w:t xml:space="preserve"> </w:t>
      </w:r>
      <w:r w:rsidR="00165F31" w:rsidRPr="00165F31">
        <w:rPr>
          <w:rFonts w:ascii="Sylfaen" w:hAnsi="Sylfaen"/>
          <w:sz w:val="24"/>
          <w:lang w:val="ka-GE"/>
        </w:rPr>
        <w:t>ბათუმის ინფექციური საავადმყოფო</w:t>
      </w:r>
      <w:r w:rsidR="00390163">
        <w:rPr>
          <w:rFonts w:ascii="Sylfaen" w:hAnsi="Sylfaen"/>
          <w:sz w:val="24"/>
          <w:lang w:val="ka-GE"/>
        </w:rPr>
        <w:t xml:space="preserve"> </w:t>
      </w:r>
      <w:r w:rsidR="00A87A2A" w:rsidRPr="00A87A2A">
        <w:rPr>
          <w:rFonts w:ascii="Sylfaen" w:hAnsi="Sylfaen"/>
          <w:b/>
          <w:sz w:val="24"/>
          <w:u w:val="single"/>
        </w:rPr>
        <w:t>60</w:t>
      </w:r>
      <w:r w:rsidR="00165F31">
        <w:rPr>
          <w:rFonts w:ascii="Sylfaen" w:hAnsi="Sylfaen"/>
          <w:sz w:val="24"/>
          <w:lang w:val="ka-GE"/>
        </w:rPr>
        <w:t>,</w:t>
      </w:r>
      <w:r w:rsidR="00165F31" w:rsidRPr="00165F31">
        <w:rPr>
          <w:rFonts w:ascii="Sylfaen" w:hAnsi="Sylfaen"/>
          <w:sz w:val="24"/>
          <w:lang w:val="ka-GE"/>
        </w:rPr>
        <w:t xml:space="preserve"> </w:t>
      </w:r>
      <w:r w:rsidR="005D6B9B" w:rsidRPr="005D6B9B">
        <w:rPr>
          <w:rFonts w:ascii="Sylfaen" w:hAnsi="Sylfaen"/>
          <w:sz w:val="24"/>
          <w:lang w:val="ka-GE"/>
        </w:rPr>
        <w:t>ციტო</w:t>
      </w:r>
      <w:r w:rsidR="00CF4330">
        <w:rPr>
          <w:rFonts w:ascii="Sylfaen" w:hAnsi="Sylfaen"/>
          <w:sz w:val="24"/>
          <w:lang w:val="ka-GE"/>
        </w:rPr>
        <w:t xml:space="preserve"> </w:t>
      </w:r>
      <w:r w:rsidR="00873008">
        <w:rPr>
          <w:rFonts w:ascii="Sylfaen" w:hAnsi="Sylfaen"/>
          <w:b/>
          <w:sz w:val="24"/>
          <w:u w:val="single"/>
          <w:lang w:val="ka-GE"/>
        </w:rPr>
        <w:t>34</w:t>
      </w:r>
      <w:r w:rsidR="00FB0A71">
        <w:rPr>
          <w:rFonts w:ascii="Sylfaen" w:hAnsi="Sylfaen"/>
          <w:b/>
          <w:sz w:val="24"/>
          <w:u w:val="single"/>
          <w:lang w:val="ka-GE"/>
        </w:rPr>
        <w:t xml:space="preserve"> </w:t>
      </w:r>
      <w:r w:rsidR="005D6B9B">
        <w:rPr>
          <w:rFonts w:ascii="Sylfaen" w:hAnsi="Sylfaen"/>
          <w:sz w:val="24"/>
          <w:lang w:val="ka-GE"/>
        </w:rPr>
        <w:t>ნიმუში</w:t>
      </w:r>
      <w:r w:rsidR="00A87A2A">
        <w:rPr>
          <w:rFonts w:ascii="Sylfaen" w:hAnsi="Sylfaen"/>
          <w:sz w:val="24"/>
        </w:rPr>
        <w:t xml:space="preserve">, </w:t>
      </w:r>
      <w:r w:rsidR="00A87A2A">
        <w:rPr>
          <w:rFonts w:ascii="Sylfaen" w:hAnsi="Sylfaen"/>
          <w:sz w:val="24"/>
          <w:lang w:val="ka-GE"/>
        </w:rPr>
        <w:t>განმეორებითი</w:t>
      </w:r>
      <w:r w:rsidR="00873008">
        <w:rPr>
          <w:rFonts w:ascii="Sylfaen" w:hAnsi="Sylfaen"/>
          <w:sz w:val="24"/>
          <w:lang w:val="ka-GE"/>
        </w:rPr>
        <w:t xml:space="preserve"> 1</w:t>
      </w:r>
      <w:r w:rsidR="00A87A2A">
        <w:rPr>
          <w:rFonts w:ascii="Sylfaen" w:hAnsi="Sylfaen"/>
          <w:sz w:val="24"/>
          <w:lang w:val="ka-GE"/>
        </w:rPr>
        <w:t>,</w:t>
      </w:r>
      <w:r w:rsidR="006315AC">
        <w:rPr>
          <w:rFonts w:ascii="Sylfaen" w:hAnsi="Sylfaen"/>
          <w:sz w:val="24"/>
          <w:lang w:val="ka-GE"/>
        </w:rPr>
        <w:t xml:space="preserve"> </w:t>
      </w:r>
      <w:r w:rsidR="00623525">
        <w:rPr>
          <w:rFonts w:ascii="Sylfaen" w:hAnsi="Sylfaen"/>
          <w:sz w:val="24"/>
          <w:lang w:val="ka-GE"/>
        </w:rPr>
        <w:t>მეგალაბი</w:t>
      </w:r>
      <w:r w:rsidR="00873008">
        <w:rPr>
          <w:rFonts w:ascii="Sylfaen" w:hAnsi="Sylfaen"/>
          <w:sz w:val="24"/>
          <w:lang w:val="ka-GE"/>
        </w:rPr>
        <w:t xml:space="preserve"> </w:t>
      </w:r>
      <w:r w:rsidR="00873008">
        <w:rPr>
          <w:rFonts w:ascii="Sylfaen" w:hAnsi="Sylfaen"/>
          <w:b/>
          <w:sz w:val="24"/>
          <w:u w:val="single"/>
          <w:lang w:val="ka-GE"/>
        </w:rPr>
        <w:t>23</w:t>
      </w:r>
      <w:r w:rsidR="00623525">
        <w:rPr>
          <w:rFonts w:ascii="Sylfaen" w:hAnsi="Sylfaen"/>
          <w:sz w:val="24"/>
          <w:lang w:val="ka-GE"/>
        </w:rPr>
        <w:t xml:space="preserve"> ნიმუში </w:t>
      </w:r>
      <w:r w:rsidR="00873008" w:rsidRPr="00873008">
        <w:rPr>
          <w:rFonts w:ascii="Sylfaen" w:hAnsi="Sylfaen"/>
          <w:sz w:val="24"/>
          <w:lang w:val="ka-GE"/>
        </w:rPr>
        <w:t>20</w:t>
      </w:r>
      <w:r w:rsidR="00623525">
        <w:rPr>
          <w:rFonts w:ascii="Sylfaen" w:hAnsi="Sylfaen"/>
          <w:sz w:val="24"/>
          <w:lang w:val="ka-GE"/>
        </w:rPr>
        <w:t xml:space="preserve"> განმეორებითი ,</w:t>
      </w:r>
      <w:r w:rsidR="005D6B9B">
        <w:rPr>
          <w:rFonts w:ascii="Sylfaen" w:hAnsi="Sylfaen"/>
          <w:sz w:val="24"/>
          <w:lang w:val="ka-GE"/>
        </w:rPr>
        <w:t xml:space="preserve"> </w:t>
      </w:r>
      <w:r w:rsidR="00623525" w:rsidRPr="00623525">
        <w:rPr>
          <w:rFonts w:ascii="Sylfaen" w:hAnsi="Sylfaen"/>
          <w:bCs/>
          <w:sz w:val="24"/>
        </w:rPr>
        <w:t>CMD LAB</w:t>
      </w:r>
      <w:r w:rsidR="00623525" w:rsidRPr="00623525">
        <w:rPr>
          <w:rFonts w:ascii="Sylfaen" w:hAnsi="Sylfaen"/>
          <w:sz w:val="24"/>
          <w:lang w:val="ka-GE"/>
        </w:rPr>
        <w:t xml:space="preserve"> </w:t>
      </w:r>
      <w:r w:rsidR="00623525">
        <w:rPr>
          <w:rFonts w:ascii="Sylfaen" w:hAnsi="Sylfaen"/>
          <w:sz w:val="24"/>
          <w:lang w:val="ka-GE"/>
        </w:rPr>
        <w:t xml:space="preserve"> </w:t>
      </w:r>
      <w:r w:rsidR="00873008">
        <w:rPr>
          <w:rFonts w:ascii="Sylfaen" w:hAnsi="Sylfaen"/>
          <w:b/>
          <w:sz w:val="24"/>
          <w:u w:val="single"/>
        </w:rPr>
        <w:t>33</w:t>
      </w:r>
      <w:r w:rsidR="00623525">
        <w:rPr>
          <w:rFonts w:ascii="Sylfaen" w:hAnsi="Sylfaen"/>
          <w:sz w:val="24"/>
          <w:lang w:val="ka-GE"/>
        </w:rPr>
        <w:t xml:space="preserve"> </w:t>
      </w:r>
      <w:r w:rsidR="00165F31">
        <w:rPr>
          <w:rFonts w:ascii="Sylfaen" w:hAnsi="Sylfaen"/>
          <w:sz w:val="24"/>
          <w:lang w:val="ka-GE"/>
        </w:rPr>
        <w:t>,</w:t>
      </w:r>
      <w:r w:rsidR="00623525">
        <w:rPr>
          <w:rFonts w:ascii="Sylfaen" w:hAnsi="Sylfaen"/>
          <w:sz w:val="24"/>
          <w:lang w:val="ka-GE"/>
        </w:rPr>
        <w:t xml:space="preserve">ქუთაისის ვეტ. ლაბორატორია </w:t>
      </w:r>
      <w:r w:rsidR="00873008">
        <w:rPr>
          <w:rFonts w:ascii="Sylfaen" w:hAnsi="Sylfaen"/>
          <w:b/>
          <w:sz w:val="24"/>
          <w:u w:val="single"/>
          <w:lang w:val="ka-GE"/>
        </w:rPr>
        <w:t>22</w:t>
      </w:r>
      <w:r w:rsidR="00CF17F1">
        <w:rPr>
          <w:rFonts w:ascii="Sylfaen" w:hAnsi="Sylfaen"/>
          <w:b/>
          <w:sz w:val="24"/>
          <w:u w:val="single"/>
          <w:lang w:val="ka-GE"/>
        </w:rPr>
        <w:t xml:space="preserve"> ნიმუში</w:t>
      </w:r>
      <w:r w:rsidR="00DA7C76" w:rsidRPr="00CF17F1">
        <w:rPr>
          <w:rFonts w:ascii="Sylfaen" w:hAnsi="Sylfaen"/>
          <w:sz w:val="24"/>
          <w:lang w:val="ka-GE"/>
        </w:rPr>
        <w:t xml:space="preserve">, </w:t>
      </w:r>
      <w:r w:rsidR="00873008">
        <w:rPr>
          <w:rFonts w:ascii="Sylfaen" w:hAnsi="Sylfaen"/>
          <w:sz w:val="24"/>
          <w:lang w:val="ka-GE"/>
        </w:rPr>
        <w:t xml:space="preserve">, </w:t>
      </w:r>
      <w:r w:rsidR="00DA7C76">
        <w:rPr>
          <w:rFonts w:ascii="Sylfaen" w:hAnsi="Sylfaen"/>
          <w:sz w:val="24"/>
          <w:lang w:val="ka-GE"/>
        </w:rPr>
        <w:t>ზუგდიდი</w:t>
      </w:r>
      <w:r w:rsidR="00FB0A71">
        <w:rPr>
          <w:rFonts w:ascii="Sylfaen" w:hAnsi="Sylfaen"/>
          <w:sz w:val="24"/>
          <w:lang w:val="ka-GE"/>
        </w:rPr>
        <w:t xml:space="preserve"> </w:t>
      </w:r>
      <w:r w:rsidR="00873008">
        <w:rPr>
          <w:rFonts w:ascii="Sylfaen" w:hAnsi="Sylfaen"/>
          <w:b/>
          <w:sz w:val="24"/>
          <w:u w:val="single"/>
          <w:lang w:val="ka-GE"/>
        </w:rPr>
        <w:t xml:space="preserve">44 </w:t>
      </w:r>
      <w:r w:rsidR="00DA7C76">
        <w:rPr>
          <w:rFonts w:ascii="Sylfaen" w:hAnsi="Sylfaen"/>
          <w:sz w:val="24"/>
          <w:lang w:val="ka-GE"/>
        </w:rPr>
        <w:t>ნიუმუში</w:t>
      </w:r>
      <w:r w:rsidR="00873008">
        <w:rPr>
          <w:rFonts w:ascii="Sylfaen" w:hAnsi="Sylfaen"/>
          <w:sz w:val="24"/>
          <w:lang w:val="ka-GE"/>
        </w:rPr>
        <w:t>,</w:t>
      </w:r>
      <w:r w:rsidR="00C73095">
        <w:rPr>
          <w:rFonts w:ascii="Sylfaen" w:hAnsi="Sylfaen"/>
          <w:sz w:val="24"/>
          <w:lang w:val="ka-GE"/>
        </w:rPr>
        <w:t xml:space="preserve"> </w:t>
      </w:r>
      <w:r w:rsidR="00390163">
        <w:rPr>
          <w:rFonts w:ascii="Sylfaen" w:hAnsi="Sylfaen"/>
          <w:sz w:val="24"/>
          <w:lang w:val="ka-GE"/>
        </w:rPr>
        <w:t xml:space="preserve">ავერსის კლინიკა </w:t>
      </w:r>
      <w:r w:rsidR="00873008">
        <w:rPr>
          <w:rFonts w:ascii="Sylfaen" w:hAnsi="Sylfaen"/>
          <w:b/>
          <w:sz w:val="24"/>
          <w:u w:val="single"/>
          <w:lang w:val="ka-GE"/>
        </w:rPr>
        <w:t>0</w:t>
      </w:r>
      <w:r w:rsidR="00390163" w:rsidRPr="00390163">
        <w:rPr>
          <w:rFonts w:ascii="Sylfaen" w:hAnsi="Sylfaen"/>
          <w:b/>
          <w:sz w:val="24"/>
          <w:u w:val="single"/>
          <w:lang w:val="ka-GE"/>
        </w:rPr>
        <w:t xml:space="preserve"> </w:t>
      </w:r>
      <w:r w:rsidR="00390163">
        <w:rPr>
          <w:rFonts w:ascii="Sylfaen" w:hAnsi="Sylfaen"/>
          <w:sz w:val="24"/>
          <w:lang w:val="ka-GE"/>
        </w:rPr>
        <w:t>ნიმუში</w:t>
      </w:r>
      <w:r w:rsidR="00873008">
        <w:rPr>
          <w:rFonts w:ascii="Sylfaen" w:hAnsi="Sylfaen"/>
          <w:sz w:val="24"/>
          <w:lang w:val="ka-GE"/>
        </w:rPr>
        <w:t xml:space="preserve">, </w:t>
      </w:r>
      <w:r w:rsidR="00390163">
        <w:rPr>
          <w:rFonts w:ascii="Sylfaen" w:hAnsi="Sylfaen"/>
          <w:sz w:val="24"/>
          <w:lang w:val="ka-GE"/>
        </w:rPr>
        <w:t xml:space="preserve"> </w:t>
      </w:r>
      <w:r w:rsidR="001F50D3" w:rsidRPr="00DA7131">
        <w:rPr>
          <w:rFonts w:ascii="Sylfaen" w:hAnsi="Sylfaen"/>
          <w:sz w:val="24"/>
          <w:lang w:val="ka-GE"/>
        </w:rPr>
        <w:t xml:space="preserve">სულ </w:t>
      </w:r>
      <w:r w:rsidR="00873008">
        <w:rPr>
          <w:rFonts w:ascii="Sylfaen" w:hAnsi="Sylfaen"/>
          <w:b/>
          <w:sz w:val="24"/>
          <w:u w:val="single"/>
          <w:lang w:val="ka-GE"/>
        </w:rPr>
        <w:t>898</w:t>
      </w:r>
      <w:r w:rsidR="00CF17F1">
        <w:rPr>
          <w:rFonts w:ascii="Sylfaen" w:hAnsi="Sylfaen"/>
          <w:b/>
          <w:sz w:val="24"/>
          <w:u w:val="single"/>
          <w:lang w:val="ka-GE"/>
        </w:rPr>
        <w:t xml:space="preserve"> </w:t>
      </w:r>
      <w:r w:rsidR="0080506E">
        <w:rPr>
          <w:rFonts w:ascii="Sylfaen" w:hAnsi="Sylfaen"/>
          <w:sz w:val="24"/>
          <w:lang w:val="ka-GE"/>
        </w:rPr>
        <w:t xml:space="preserve"> აქედან</w:t>
      </w:r>
      <w:r w:rsidR="00873008">
        <w:rPr>
          <w:rFonts w:ascii="Sylfaen" w:hAnsi="Sylfaen"/>
          <w:b/>
          <w:sz w:val="24"/>
          <w:u w:val="single"/>
          <w:lang w:val="ka-GE"/>
        </w:rPr>
        <w:t xml:space="preserve"> 859</w:t>
      </w:r>
      <w:r w:rsidR="00390163">
        <w:rPr>
          <w:rFonts w:ascii="Sylfaen" w:hAnsi="Sylfaen"/>
          <w:b/>
          <w:bCs/>
          <w:sz w:val="24"/>
          <w:u w:val="single"/>
          <w:lang w:val="ka-GE"/>
        </w:rPr>
        <w:t xml:space="preserve"> </w:t>
      </w:r>
      <w:r w:rsidR="0080506E">
        <w:rPr>
          <w:rFonts w:ascii="Sylfaen" w:hAnsi="Sylfaen"/>
          <w:b/>
          <w:bCs/>
          <w:sz w:val="24"/>
          <w:u w:val="single"/>
          <w:lang w:val="ka-GE"/>
        </w:rPr>
        <w:t xml:space="preserve">პირველადი ნიმუში </w:t>
      </w:r>
    </w:p>
    <w:p w14:paraId="00395F9C" w14:textId="42E4A8D1"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873008">
        <w:rPr>
          <w:rFonts w:ascii="Sylfaen" w:hAnsi="Sylfaen"/>
          <w:b/>
          <w:sz w:val="24"/>
          <w:u w:val="single"/>
          <w:lang w:val="ka-GE"/>
        </w:rPr>
        <w:t>19 2</w:t>
      </w:r>
      <w:r w:rsidR="00873008">
        <w:rPr>
          <w:rFonts w:ascii="Sylfaen" w:hAnsi="Sylfaen"/>
          <w:b/>
          <w:sz w:val="24"/>
          <w:u w:val="single"/>
        </w:rPr>
        <w:t>63</w:t>
      </w:r>
      <w:r w:rsidR="00033C80">
        <w:rPr>
          <w:rFonts w:ascii="Sylfaen" w:hAnsi="Sylfaen"/>
          <w:b/>
          <w:sz w:val="24"/>
          <w:u w:val="single"/>
          <w:lang w:val="ka-GE"/>
        </w:rPr>
        <w:t xml:space="preserve"> </w:t>
      </w:r>
      <w:r w:rsidR="00D75BDD">
        <w:rPr>
          <w:rFonts w:ascii="Sylfaen" w:hAnsi="Sylfaen"/>
          <w:b/>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1B630EB8" w:rsidR="00D2219C" w:rsidRPr="00F43963" w:rsidRDefault="00D2219C" w:rsidP="00D659B9">
      <w:pPr>
        <w:jc w:val="both"/>
        <w:rPr>
          <w:rFonts w:ascii="Sylfaen" w:hAnsi="Sylfaen"/>
          <w:sz w:val="24"/>
        </w:rPr>
      </w:pPr>
      <w:r w:rsidRPr="00DA7131">
        <w:rPr>
          <w:rFonts w:ascii="Sylfaen" w:hAnsi="Sylfaen"/>
          <w:sz w:val="24"/>
          <w:lang w:val="ka-GE"/>
        </w:rPr>
        <w:t xml:space="preserve">ლაბორატორიის დატვირთვა  30.01.2020 დან შეადგენს </w:t>
      </w:r>
      <w:r w:rsidR="00BB37B7">
        <w:rPr>
          <w:rFonts w:ascii="Sylfaen" w:hAnsi="Sylfaen"/>
          <w:b/>
          <w:sz w:val="24"/>
          <w:u w:val="single"/>
          <w:lang w:val="ka-GE"/>
        </w:rPr>
        <w:t>20 682</w:t>
      </w:r>
      <w:r w:rsidR="00D75BDD">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r w:rsidR="00F43963">
        <w:rPr>
          <w:rFonts w:ascii="Sylfaen" w:hAnsi="Sylfaen"/>
          <w:sz w:val="24"/>
        </w:rPr>
        <w:t xml:space="preserve"> </w:t>
      </w:r>
    </w:p>
    <w:p w14:paraId="101B26DD" w14:textId="13B14521"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A7623C">
        <w:rPr>
          <w:rFonts w:ascii="Sylfaen" w:hAnsi="Sylfaen"/>
          <w:b/>
          <w:sz w:val="24"/>
        </w:rPr>
        <w:t>593</w:t>
      </w:r>
      <w:r w:rsidR="000A1467">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346EDDBC" w14:textId="0A53E171" w:rsidR="000A1467" w:rsidRPr="00A7623C" w:rsidRDefault="00F32247" w:rsidP="002213A1">
      <w:pPr>
        <w:jc w:val="both"/>
        <w:rPr>
          <w:rFonts w:ascii="Sylfaen" w:hAnsi="Sylfaen"/>
          <w:sz w:val="24"/>
          <w:lang w:val="ka-GE"/>
        </w:rPr>
      </w:pPr>
      <w:r>
        <w:rPr>
          <w:rFonts w:ascii="Sylfaen" w:hAnsi="Sylfaen"/>
          <w:sz w:val="24"/>
          <w:lang w:val="ka-GE"/>
        </w:rPr>
        <w:t>ახალ დადასტურებულ</w:t>
      </w:r>
      <w:r w:rsidR="003543DC">
        <w:rPr>
          <w:rFonts w:ascii="Sylfaen" w:hAnsi="Sylfaen"/>
          <w:sz w:val="24"/>
          <w:lang w:val="ka-GE"/>
        </w:rPr>
        <w:t>ი</w:t>
      </w:r>
      <w:bookmarkStart w:id="0" w:name="_GoBack"/>
      <w:bookmarkEnd w:id="0"/>
      <w:r>
        <w:rPr>
          <w:rFonts w:ascii="Sylfaen" w:hAnsi="Sylfaen"/>
          <w:sz w:val="24"/>
          <w:lang w:val="ka-GE"/>
        </w:rPr>
        <w:t xml:space="preserve"> </w:t>
      </w:r>
      <w:r w:rsidR="00FB1C7C">
        <w:rPr>
          <w:rFonts w:ascii="Sylfaen" w:hAnsi="Sylfaen"/>
          <w:sz w:val="24"/>
          <w:lang w:val="ka-GE"/>
        </w:rPr>
        <w:t xml:space="preserve"> </w:t>
      </w:r>
      <w:r w:rsidR="00A7623C">
        <w:rPr>
          <w:rFonts w:ascii="Sylfaen" w:hAnsi="Sylfaen"/>
          <w:sz w:val="24"/>
          <w:lang w:val="ka-GE"/>
        </w:rPr>
        <w:t>4</w:t>
      </w:r>
      <w:r w:rsidR="00A40B48">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5E4D91">
        <w:rPr>
          <w:rFonts w:ascii="Sylfaen" w:hAnsi="Sylfaen"/>
          <w:sz w:val="24"/>
        </w:rPr>
        <w:t xml:space="preserve">2 </w:t>
      </w:r>
      <w:r w:rsidR="00A7623C">
        <w:rPr>
          <w:rFonts w:ascii="Sylfaen" w:hAnsi="Sylfaen"/>
          <w:sz w:val="24"/>
          <w:lang w:val="ka-GE"/>
        </w:rPr>
        <w:t xml:space="preserve">დადასტურებულ შემთხვევასთან კონტაქტი, 2 შემთხვევაზე მიმდინარეობს ჩაღრმავებული ეპიდ კვლევა </w:t>
      </w:r>
    </w:p>
    <w:p w14:paraId="558C66F9" w14:textId="035C3BEF"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A7623C">
        <w:rPr>
          <w:rFonts w:ascii="Sylfaen" w:hAnsi="Sylfaen"/>
          <w:sz w:val="24"/>
        </w:rPr>
        <w:t>223</w:t>
      </w:r>
    </w:p>
    <w:p w14:paraId="5812E2C1" w14:textId="6D97962C"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A7623C">
        <w:rPr>
          <w:rFonts w:ascii="Sylfaen" w:hAnsi="Sylfaen"/>
          <w:sz w:val="24"/>
          <w:lang w:val="ka-GE"/>
        </w:rPr>
        <w:t>9</w:t>
      </w:r>
      <w:r w:rsidR="0057760E">
        <w:rPr>
          <w:rFonts w:ascii="Sylfaen" w:hAnsi="Sylfaen"/>
          <w:sz w:val="24"/>
          <w:lang w:val="ka-GE"/>
        </w:rPr>
        <w:t xml:space="preserve"> </w:t>
      </w:r>
    </w:p>
    <w:p w14:paraId="667607D2" w14:textId="4928A2A9" w:rsidR="0057760E" w:rsidRDefault="00911312" w:rsidP="00B97CB9">
      <w:pPr>
        <w:jc w:val="both"/>
        <w:rPr>
          <w:rFonts w:ascii="Sylfaen" w:hAnsi="Sylfaen"/>
          <w:sz w:val="24"/>
          <w:lang w:val="ka-GE"/>
        </w:rPr>
      </w:pPr>
      <w:r>
        <w:rPr>
          <w:rFonts w:ascii="Sylfaen" w:hAnsi="Sylfaen"/>
          <w:sz w:val="24"/>
          <w:lang w:val="ka-GE"/>
        </w:rPr>
        <w:t>ლეტ</w:t>
      </w:r>
      <w:r w:rsidR="0057760E">
        <w:rPr>
          <w:rFonts w:ascii="Sylfaen" w:hAnsi="Sylfaen"/>
          <w:sz w:val="24"/>
          <w:lang w:val="ka-GE"/>
        </w:rPr>
        <w:t>ალობის მაჩვენებელი</w:t>
      </w:r>
      <w:r w:rsidR="005E4D91">
        <w:rPr>
          <w:rFonts w:ascii="Sylfaen" w:hAnsi="Sylfaen"/>
          <w:sz w:val="24"/>
          <w:lang w:val="ka-GE"/>
        </w:rPr>
        <w:t xml:space="preserve"> 1.</w:t>
      </w:r>
      <w:r w:rsidR="00A7623C">
        <w:rPr>
          <w:rFonts w:ascii="Sylfaen" w:hAnsi="Sylfaen"/>
          <w:sz w:val="24"/>
          <w:lang w:val="ka-GE"/>
        </w:rPr>
        <w:t>52</w:t>
      </w:r>
      <w:r w:rsidR="00D7252B">
        <w:rPr>
          <w:rFonts w:ascii="Sylfaen" w:hAnsi="Sylfaen"/>
          <w:sz w:val="24"/>
          <w:lang w:val="ka-GE"/>
        </w:rPr>
        <w:t xml:space="preserve"> %</w:t>
      </w:r>
    </w:p>
    <w:p w14:paraId="56C7A60B" w14:textId="77777777" w:rsidR="002E2DC1" w:rsidRPr="00F62A38" w:rsidRDefault="002E2DC1" w:rsidP="00B97CB9">
      <w:pPr>
        <w:jc w:val="both"/>
        <w:rPr>
          <w:rFonts w:ascii="Sylfaen" w:hAnsi="Sylfaen"/>
          <w:b/>
          <w:bCs/>
          <w:sz w:val="24"/>
          <w:u w:val="single"/>
        </w:rPr>
      </w:pPr>
    </w:p>
    <w:p w14:paraId="69A88C86" w14:textId="223EF990" w:rsidR="001066E5" w:rsidRDefault="00EF0278" w:rsidP="00D96DEC">
      <w:pPr>
        <w:tabs>
          <w:tab w:val="left" w:pos="7110"/>
        </w:tabs>
        <w:ind w:left="-90" w:hanging="540"/>
        <w:jc w:val="both"/>
        <w:rPr>
          <w:rFonts w:ascii="Sylfaen" w:hAnsi="Sylfaen"/>
          <w:b/>
          <w:bCs/>
          <w:sz w:val="24"/>
          <w:u w:val="single"/>
        </w:rPr>
      </w:pPr>
      <w:r w:rsidRPr="00F27332">
        <w:rPr>
          <w:noProof/>
          <w:sz w:val="16"/>
        </w:rPr>
        <w:lastRenderedPageBreak/>
        <w:drawing>
          <wp:inline distT="0" distB="0" distL="0" distR="0" wp14:anchorId="65A444CA" wp14:editId="5BBE7F88">
            <wp:extent cx="7639050" cy="4261485"/>
            <wp:effectExtent l="0" t="0" r="0" b="571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3CD78C" w14:textId="7F068BCA" w:rsidR="00473999" w:rsidRDefault="00873008" w:rsidP="00D96DEC">
      <w:pPr>
        <w:tabs>
          <w:tab w:val="left" w:pos="7110"/>
        </w:tabs>
        <w:ind w:left="-90" w:hanging="540"/>
        <w:jc w:val="both"/>
        <w:rPr>
          <w:rFonts w:ascii="Sylfaen" w:hAnsi="Sylfaen"/>
          <w:b/>
          <w:bCs/>
          <w:sz w:val="24"/>
          <w:u w:val="single"/>
        </w:rPr>
      </w:pPr>
      <w:r>
        <w:rPr>
          <w:noProof/>
        </w:rPr>
        <w:drawing>
          <wp:inline distT="0" distB="0" distL="0" distR="0" wp14:anchorId="392DCAA8" wp14:editId="5FE27764">
            <wp:extent cx="7613650" cy="3873500"/>
            <wp:effectExtent l="0" t="0" r="63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25ED87" w14:textId="7FB5C36F" w:rsidR="00473999" w:rsidRPr="00906DD8" w:rsidRDefault="00473999" w:rsidP="00D96DEC">
      <w:pPr>
        <w:tabs>
          <w:tab w:val="left" w:pos="7110"/>
        </w:tabs>
        <w:ind w:left="-90" w:hanging="540"/>
        <w:jc w:val="both"/>
        <w:rPr>
          <w:rFonts w:ascii="Sylfaen" w:hAnsi="Sylfaen"/>
          <w:b/>
          <w:bCs/>
          <w:sz w:val="24"/>
          <w:u w:val="single"/>
        </w:rPr>
      </w:pPr>
    </w:p>
    <w:p w14:paraId="0022F5AF" w14:textId="4C62D0AD" w:rsidR="00E440C4" w:rsidRDefault="00E440C4" w:rsidP="00620F03">
      <w:pPr>
        <w:tabs>
          <w:tab w:val="left" w:pos="3150"/>
        </w:tabs>
        <w:jc w:val="both"/>
        <w:rPr>
          <w:rFonts w:ascii="Sylfaen" w:hAnsi="Sylfaen"/>
          <w:bCs/>
          <w:sz w:val="24"/>
          <w:lang w:val="ka-GE"/>
        </w:rPr>
      </w:pPr>
    </w:p>
    <w:tbl>
      <w:tblPr>
        <w:tblpPr w:leftFromText="180" w:rightFromText="180" w:vertAnchor="text" w:tblpX="-910" w:tblpY="50"/>
        <w:tblW w:w="12030" w:type="dxa"/>
        <w:tblLayout w:type="fixed"/>
        <w:tblLook w:val="04A0" w:firstRow="1" w:lastRow="0" w:firstColumn="1" w:lastColumn="0" w:noHBand="0" w:noVBand="1"/>
      </w:tblPr>
      <w:tblGrid>
        <w:gridCol w:w="676"/>
        <w:gridCol w:w="542"/>
        <w:gridCol w:w="476"/>
        <w:gridCol w:w="543"/>
        <w:gridCol w:w="409"/>
        <w:gridCol w:w="546"/>
        <w:gridCol w:w="410"/>
        <w:gridCol w:w="546"/>
        <w:gridCol w:w="465"/>
        <w:gridCol w:w="559"/>
        <w:gridCol w:w="412"/>
        <w:gridCol w:w="477"/>
        <w:gridCol w:w="414"/>
        <w:gridCol w:w="480"/>
        <w:gridCol w:w="410"/>
        <w:gridCol w:w="548"/>
        <w:gridCol w:w="497"/>
        <w:gridCol w:w="461"/>
        <w:gridCol w:w="410"/>
        <w:gridCol w:w="478"/>
        <w:gridCol w:w="478"/>
        <w:gridCol w:w="477"/>
        <w:gridCol w:w="411"/>
        <w:gridCol w:w="461"/>
        <w:gridCol w:w="425"/>
        <w:gridCol w:w="19"/>
      </w:tblGrid>
      <w:tr w:rsidR="00873008" w:rsidRPr="00ED7ABF" w14:paraId="537B4A72" w14:textId="77777777" w:rsidTr="00873008">
        <w:trPr>
          <w:trHeight w:val="155"/>
        </w:trPr>
        <w:tc>
          <w:tcPr>
            <w:tcW w:w="677" w:type="dxa"/>
            <w:tcBorders>
              <w:top w:val="single" w:sz="4" w:space="0" w:color="auto"/>
              <w:left w:val="single" w:sz="4" w:space="0" w:color="auto"/>
              <w:bottom w:val="single" w:sz="4" w:space="0" w:color="auto"/>
              <w:right w:val="single" w:sz="4" w:space="0" w:color="auto"/>
            </w:tcBorders>
            <w:shd w:val="clear" w:color="auto" w:fill="auto"/>
            <w:hideMark/>
          </w:tcPr>
          <w:p w14:paraId="590F4C67" w14:textId="77777777" w:rsidR="00873008" w:rsidRPr="00ED7ABF" w:rsidRDefault="00873008" w:rsidP="00F86501">
            <w:pPr>
              <w:spacing w:after="0" w:line="240" w:lineRule="auto"/>
              <w:rPr>
                <w:rFonts w:ascii="Sylfaen" w:eastAsia="Times New Roman" w:hAnsi="Sylfaen" w:cs="Calibri"/>
                <w:color w:val="000000"/>
                <w:sz w:val="18"/>
                <w:szCs w:val="24"/>
                <w:lang w:val="ka-GE"/>
              </w:rPr>
            </w:pPr>
            <w:r w:rsidRPr="00ED7ABF">
              <w:rPr>
                <w:rFonts w:ascii="Sylfaen" w:eastAsia="Times New Roman" w:hAnsi="Sylfaen" w:cs="Calibri"/>
                <w:color w:val="000000"/>
                <w:sz w:val="18"/>
                <w:szCs w:val="24"/>
                <w:lang w:val="ka-GE"/>
              </w:rPr>
              <w:lastRenderedPageBreak/>
              <w:t> </w:t>
            </w:r>
          </w:p>
        </w:tc>
        <w:tc>
          <w:tcPr>
            <w:tcW w:w="1019" w:type="dxa"/>
            <w:gridSpan w:val="2"/>
            <w:tcBorders>
              <w:top w:val="single" w:sz="4" w:space="0" w:color="auto"/>
              <w:left w:val="nil"/>
              <w:bottom w:val="single" w:sz="4" w:space="0" w:color="auto"/>
              <w:right w:val="single" w:sz="4" w:space="0" w:color="auto"/>
            </w:tcBorders>
            <w:shd w:val="clear" w:color="auto" w:fill="auto"/>
            <w:vAlign w:val="center"/>
            <w:hideMark/>
          </w:tcPr>
          <w:p w14:paraId="3AF2E7A8"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ლუგარი</w:t>
            </w:r>
          </w:p>
        </w:tc>
        <w:tc>
          <w:tcPr>
            <w:tcW w:w="952" w:type="dxa"/>
            <w:gridSpan w:val="2"/>
            <w:tcBorders>
              <w:top w:val="single" w:sz="4" w:space="0" w:color="auto"/>
              <w:left w:val="nil"/>
              <w:bottom w:val="single" w:sz="4" w:space="0" w:color="auto"/>
              <w:right w:val="single" w:sz="4" w:space="0" w:color="auto"/>
            </w:tcBorders>
            <w:vAlign w:val="center"/>
          </w:tcPr>
          <w:p w14:paraId="13ADE283"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ქუთაისი</w:t>
            </w:r>
          </w:p>
        </w:tc>
        <w:tc>
          <w:tcPr>
            <w:tcW w:w="956" w:type="dxa"/>
            <w:gridSpan w:val="2"/>
            <w:tcBorders>
              <w:top w:val="single" w:sz="4" w:space="0" w:color="auto"/>
              <w:left w:val="nil"/>
              <w:bottom w:val="single" w:sz="4" w:space="0" w:color="auto"/>
              <w:right w:val="single" w:sz="4" w:space="0" w:color="auto"/>
            </w:tcBorders>
            <w:vAlign w:val="center"/>
          </w:tcPr>
          <w:p w14:paraId="10D78433"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ბათუმი</w:t>
            </w:r>
          </w:p>
        </w:tc>
        <w:tc>
          <w:tcPr>
            <w:tcW w:w="1011" w:type="dxa"/>
            <w:gridSpan w:val="2"/>
            <w:tcBorders>
              <w:top w:val="single" w:sz="4" w:space="0" w:color="auto"/>
              <w:left w:val="nil"/>
              <w:bottom w:val="single" w:sz="4" w:space="0" w:color="auto"/>
              <w:right w:val="single" w:sz="4" w:space="0" w:color="auto"/>
            </w:tcBorders>
            <w:vAlign w:val="center"/>
          </w:tcPr>
          <w:p w14:paraId="36F74C61"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IDH</w:t>
            </w:r>
          </w:p>
        </w:tc>
        <w:tc>
          <w:tcPr>
            <w:tcW w:w="971" w:type="dxa"/>
            <w:gridSpan w:val="2"/>
            <w:tcBorders>
              <w:top w:val="single" w:sz="4" w:space="0" w:color="auto"/>
              <w:left w:val="nil"/>
              <w:bottom w:val="single" w:sz="4" w:space="0" w:color="auto"/>
              <w:right w:val="single" w:sz="4" w:space="0" w:color="auto"/>
            </w:tcBorders>
            <w:vAlign w:val="center"/>
          </w:tcPr>
          <w:p w14:paraId="4839F363"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ნეოლაბი</w:t>
            </w:r>
          </w:p>
        </w:tc>
        <w:tc>
          <w:tcPr>
            <w:tcW w:w="891" w:type="dxa"/>
            <w:gridSpan w:val="2"/>
            <w:tcBorders>
              <w:top w:val="single" w:sz="4" w:space="0" w:color="auto"/>
              <w:left w:val="nil"/>
              <w:bottom w:val="single" w:sz="4" w:space="0" w:color="auto"/>
              <w:right w:val="single" w:sz="4" w:space="0" w:color="auto"/>
            </w:tcBorders>
            <w:vAlign w:val="center"/>
          </w:tcPr>
          <w:p w14:paraId="723B081C"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ბათუმი IDH</w:t>
            </w:r>
          </w:p>
        </w:tc>
        <w:tc>
          <w:tcPr>
            <w:tcW w:w="890" w:type="dxa"/>
            <w:gridSpan w:val="2"/>
            <w:tcBorders>
              <w:top w:val="single" w:sz="4" w:space="0" w:color="auto"/>
              <w:left w:val="nil"/>
              <w:bottom w:val="single" w:sz="4" w:space="0" w:color="auto"/>
              <w:right w:val="single" w:sz="4" w:space="0" w:color="auto"/>
            </w:tcBorders>
            <w:vAlign w:val="center"/>
          </w:tcPr>
          <w:p w14:paraId="5DB310A2"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ციტო</w:t>
            </w:r>
          </w:p>
        </w:tc>
        <w:tc>
          <w:tcPr>
            <w:tcW w:w="1045" w:type="dxa"/>
            <w:gridSpan w:val="2"/>
            <w:tcBorders>
              <w:top w:val="single" w:sz="4" w:space="0" w:color="auto"/>
              <w:left w:val="nil"/>
              <w:bottom w:val="single" w:sz="4" w:space="0" w:color="auto"/>
              <w:right w:val="single" w:sz="4" w:space="0" w:color="auto"/>
            </w:tcBorders>
            <w:vAlign w:val="center"/>
          </w:tcPr>
          <w:p w14:paraId="3991F76F"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MEGALAB</w:t>
            </w:r>
          </w:p>
        </w:tc>
        <w:tc>
          <w:tcPr>
            <w:tcW w:w="871" w:type="dxa"/>
            <w:gridSpan w:val="2"/>
            <w:tcBorders>
              <w:top w:val="single" w:sz="4" w:space="0" w:color="auto"/>
              <w:left w:val="nil"/>
              <w:bottom w:val="single" w:sz="4" w:space="0" w:color="auto"/>
              <w:right w:val="single" w:sz="4" w:space="0" w:color="auto"/>
            </w:tcBorders>
            <w:vAlign w:val="center"/>
          </w:tcPr>
          <w:p w14:paraId="2FCE3C56"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MOLECULAR</w:t>
            </w:r>
          </w:p>
        </w:tc>
        <w:tc>
          <w:tcPr>
            <w:tcW w:w="956" w:type="dxa"/>
            <w:gridSpan w:val="2"/>
            <w:tcBorders>
              <w:top w:val="single" w:sz="4" w:space="0" w:color="auto"/>
              <w:left w:val="nil"/>
              <w:bottom w:val="single" w:sz="4" w:space="0" w:color="auto"/>
              <w:right w:val="single" w:sz="4" w:space="0" w:color="auto"/>
            </w:tcBorders>
          </w:tcPr>
          <w:p w14:paraId="15ED6F02"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ქუთაისი ვეტ. ლაბ</w:t>
            </w:r>
          </w:p>
        </w:tc>
        <w:tc>
          <w:tcPr>
            <w:tcW w:w="888" w:type="dxa"/>
            <w:gridSpan w:val="2"/>
            <w:tcBorders>
              <w:top w:val="single" w:sz="4" w:space="0" w:color="auto"/>
              <w:left w:val="nil"/>
              <w:bottom w:val="single" w:sz="4" w:space="0" w:color="auto"/>
              <w:right w:val="single" w:sz="4" w:space="0" w:color="auto"/>
            </w:tcBorders>
            <w:vAlign w:val="center"/>
          </w:tcPr>
          <w:p w14:paraId="50C8694E"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ზუგდიდი</w:t>
            </w:r>
          </w:p>
        </w:tc>
        <w:tc>
          <w:tcPr>
            <w:tcW w:w="903" w:type="dxa"/>
            <w:gridSpan w:val="3"/>
            <w:tcBorders>
              <w:top w:val="single" w:sz="4" w:space="0" w:color="auto"/>
              <w:left w:val="nil"/>
              <w:bottom w:val="single" w:sz="4" w:space="0" w:color="auto"/>
              <w:right w:val="single" w:sz="4" w:space="0" w:color="auto"/>
            </w:tcBorders>
          </w:tcPr>
          <w:p w14:paraId="337CBD6A" w14:textId="77777777" w:rsidR="00873008" w:rsidRPr="00ED7ABF" w:rsidRDefault="00873008" w:rsidP="00F86501">
            <w:pPr>
              <w:spacing w:after="0" w:line="240" w:lineRule="auto"/>
              <w:jc w:val="center"/>
              <w:rPr>
                <w:rFonts w:ascii="Sylfaen" w:eastAsia="Times New Roman" w:hAnsi="Sylfaen" w:cs="Sylfaen"/>
                <w:b/>
                <w:bCs/>
                <w:color w:val="000000"/>
                <w:sz w:val="18"/>
                <w:szCs w:val="24"/>
                <w:lang w:val="ka-GE"/>
              </w:rPr>
            </w:pPr>
            <w:r w:rsidRPr="00ED7ABF">
              <w:rPr>
                <w:rFonts w:ascii="Sylfaen" w:eastAsia="Times New Roman" w:hAnsi="Sylfaen" w:cs="Sylfaen"/>
                <w:b/>
                <w:bCs/>
                <w:color w:val="000000"/>
                <w:sz w:val="18"/>
                <w:szCs w:val="24"/>
                <w:lang w:val="ka-GE"/>
              </w:rPr>
              <w:t>ავერსის კლინიკა</w:t>
            </w:r>
          </w:p>
        </w:tc>
      </w:tr>
      <w:tr w:rsidR="00873008" w:rsidRPr="00ED7ABF" w14:paraId="102C23B8" w14:textId="77777777" w:rsidTr="00873008">
        <w:trPr>
          <w:gridAfter w:val="1"/>
          <w:wAfter w:w="19" w:type="dxa"/>
          <w:trHeight w:val="235"/>
        </w:trPr>
        <w:tc>
          <w:tcPr>
            <w:tcW w:w="677" w:type="dxa"/>
            <w:tcBorders>
              <w:top w:val="single" w:sz="4" w:space="0" w:color="auto"/>
              <w:left w:val="single" w:sz="4" w:space="0" w:color="auto"/>
              <w:bottom w:val="single" w:sz="4" w:space="0" w:color="auto"/>
              <w:right w:val="single" w:sz="4" w:space="0" w:color="auto"/>
            </w:tcBorders>
            <w:shd w:val="clear" w:color="auto" w:fill="auto"/>
          </w:tcPr>
          <w:p w14:paraId="3BE3E76F" w14:textId="77777777" w:rsidR="00873008" w:rsidRPr="00ED7ABF" w:rsidRDefault="00873008" w:rsidP="00F86501">
            <w:pPr>
              <w:spacing w:after="0" w:line="240" w:lineRule="auto"/>
              <w:rPr>
                <w:rFonts w:ascii="Sylfaen" w:eastAsia="Times New Roman" w:hAnsi="Sylfaen" w:cs="Calibri"/>
                <w:color w:val="000000"/>
                <w:sz w:val="18"/>
                <w:szCs w:val="24"/>
                <w:lang w:val="ka-GE"/>
              </w:rPr>
            </w:pPr>
          </w:p>
        </w:tc>
        <w:tc>
          <w:tcPr>
            <w:tcW w:w="543" w:type="dxa"/>
            <w:tcBorders>
              <w:top w:val="single" w:sz="4" w:space="0" w:color="auto"/>
              <w:left w:val="nil"/>
              <w:bottom w:val="single" w:sz="4" w:space="0" w:color="auto"/>
              <w:right w:val="single" w:sz="4" w:space="0" w:color="auto"/>
            </w:tcBorders>
            <w:shd w:val="clear" w:color="auto" w:fill="auto"/>
            <w:vAlign w:val="center"/>
          </w:tcPr>
          <w:p w14:paraId="31325602"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76" w:type="dxa"/>
            <w:tcBorders>
              <w:top w:val="single" w:sz="4" w:space="0" w:color="auto"/>
              <w:left w:val="nil"/>
              <w:bottom w:val="single" w:sz="4" w:space="0" w:color="auto"/>
              <w:right w:val="single" w:sz="4" w:space="0" w:color="auto"/>
            </w:tcBorders>
            <w:vAlign w:val="center"/>
          </w:tcPr>
          <w:p w14:paraId="731A458B"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543" w:type="dxa"/>
            <w:tcBorders>
              <w:top w:val="single" w:sz="4" w:space="0" w:color="auto"/>
              <w:left w:val="nil"/>
              <w:bottom w:val="single" w:sz="4" w:space="0" w:color="auto"/>
              <w:right w:val="single" w:sz="4" w:space="0" w:color="auto"/>
            </w:tcBorders>
            <w:vAlign w:val="center"/>
          </w:tcPr>
          <w:p w14:paraId="51EAD5E3"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09" w:type="dxa"/>
            <w:tcBorders>
              <w:top w:val="single" w:sz="4" w:space="0" w:color="auto"/>
              <w:left w:val="nil"/>
              <w:bottom w:val="single" w:sz="4" w:space="0" w:color="auto"/>
              <w:right w:val="single" w:sz="4" w:space="0" w:color="auto"/>
            </w:tcBorders>
            <w:vAlign w:val="center"/>
          </w:tcPr>
          <w:p w14:paraId="391C50FD"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546" w:type="dxa"/>
            <w:tcBorders>
              <w:top w:val="single" w:sz="4" w:space="0" w:color="auto"/>
              <w:left w:val="nil"/>
              <w:bottom w:val="single" w:sz="4" w:space="0" w:color="auto"/>
              <w:right w:val="single" w:sz="4" w:space="0" w:color="auto"/>
            </w:tcBorders>
            <w:vAlign w:val="center"/>
          </w:tcPr>
          <w:p w14:paraId="0E5BC67D"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10" w:type="dxa"/>
            <w:tcBorders>
              <w:top w:val="single" w:sz="4" w:space="0" w:color="auto"/>
              <w:left w:val="nil"/>
              <w:bottom w:val="single" w:sz="4" w:space="0" w:color="auto"/>
              <w:right w:val="single" w:sz="4" w:space="0" w:color="auto"/>
            </w:tcBorders>
            <w:vAlign w:val="center"/>
          </w:tcPr>
          <w:p w14:paraId="71DA754F"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546" w:type="dxa"/>
            <w:tcBorders>
              <w:top w:val="single" w:sz="4" w:space="0" w:color="auto"/>
              <w:left w:val="nil"/>
              <w:bottom w:val="single" w:sz="4" w:space="0" w:color="auto"/>
              <w:right w:val="single" w:sz="4" w:space="0" w:color="auto"/>
            </w:tcBorders>
            <w:vAlign w:val="center"/>
          </w:tcPr>
          <w:p w14:paraId="64D357F9"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64" w:type="dxa"/>
            <w:tcBorders>
              <w:top w:val="single" w:sz="4" w:space="0" w:color="auto"/>
              <w:left w:val="nil"/>
              <w:bottom w:val="single" w:sz="4" w:space="0" w:color="auto"/>
              <w:right w:val="single" w:sz="4" w:space="0" w:color="auto"/>
            </w:tcBorders>
            <w:vAlign w:val="center"/>
          </w:tcPr>
          <w:p w14:paraId="1AE2EA77"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559" w:type="dxa"/>
            <w:tcBorders>
              <w:top w:val="single" w:sz="4" w:space="0" w:color="auto"/>
              <w:left w:val="nil"/>
              <w:bottom w:val="single" w:sz="4" w:space="0" w:color="auto"/>
              <w:right w:val="single" w:sz="4" w:space="0" w:color="auto"/>
            </w:tcBorders>
            <w:vAlign w:val="center"/>
          </w:tcPr>
          <w:p w14:paraId="0E498624"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11" w:type="dxa"/>
            <w:tcBorders>
              <w:top w:val="single" w:sz="4" w:space="0" w:color="auto"/>
              <w:left w:val="nil"/>
              <w:bottom w:val="single" w:sz="4" w:space="0" w:color="auto"/>
              <w:right w:val="single" w:sz="4" w:space="0" w:color="auto"/>
            </w:tcBorders>
            <w:vAlign w:val="center"/>
          </w:tcPr>
          <w:p w14:paraId="35ABBB51"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477" w:type="dxa"/>
            <w:tcBorders>
              <w:top w:val="single" w:sz="4" w:space="0" w:color="auto"/>
              <w:left w:val="nil"/>
              <w:bottom w:val="single" w:sz="4" w:space="0" w:color="auto"/>
              <w:right w:val="single" w:sz="4" w:space="0" w:color="auto"/>
            </w:tcBorders>
            <w:vAlign w:val="center"/>
          </w:tcPr>
          <w:p w14:paraId="183DDAA9"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14" w:type="dxa"/>
            <w:tcBorders>
              <w:top w:val="single" w:sz="4" w:space="0" w:color="auto"/>
              <w:left w:val="nil"/>
              <w:bottom w:val="single" w:sz="4" w:space="0" w:color="auto"/>
              <w:right w:val="single" w:sz="4" w:space="0" w:color="auto"/>
            </w:tcBorders>
            <w:vAlign w:val="center"/>
          </w:tcPr>
          <w:p w14:paraId="17FA3CC5"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480" w:type="dxa"/>
            <w:tcBorders>
              <w:top w:val="single" w:sz="4" w:space="0" w:color="auto"/>
              <w:left w:val="nil"/>
              <w:bottom w:val="single" w:sz="4" w:space="0" w:color="auto"/>
              <w:right w:val="single" w:sz="4" w:space="0" w:color="auto"/>
            </w:tcBorders>
            <w:vAlign w:val="center"/>
          </w:tcPr>
          <w:p w14:paraId="75FA0DF5"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10" w:type="dxa"/>
            <w:tcBorders>
              <w:top w:val="single" w:sz="4" w:space="0" w:color="auto"/>
              <w:left w:val="nil"/>
              <w:bottom w:val="single" w:sz="4" w:space="0" w:color="auto"/>
              <w:right w:val="single" w:sz="4" w:space="0" w:color="auto"/>
            </w:tcBorders>
            <w:vAlign w:val="center"/>
          </w:tcPr>
          <w:p w14:paraId="14F65948"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548" w:type="dxa"/>
            <w:tcBorders>
              <w:top w:val="single" w:sz="4" w:space="0" w:color="auto"/>
              <w:left w:val="nil"/>
              <w:bottom w:val="single" w:sz="4" w:space="0" w:color="auto"/>
              <w:right w:val="single" w:sz="4" w:space="0" w:color="auto"/>
            </w:tcBorders>
            <w:vAlign w:val="center"/>
          </w:tcPr>
          <w:p w14:paraId="49CBDA93"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97" w:type="dxa"/>
            <w:tcBorders>
              <w:top w:val="single" w:sz="4" w:space="0" w:color="auto"/>
              <w:left w:val="nil"/>
              <w:bottom w:val="single" w:sz="4" w:space="0" w:color="auto"/>
              <w:right w:val="single" w:sz="4" w:space="0" w:color="auto"/>
            </w:tcBorders>
            <w:vAlign w:val="center"/>
          </w:tcPr>
          <w:p w14:paraId="2C8D14D1"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461" w:type="dxa"/>
            <w:tcBorders>
              <w:top w:val="single" w:sz="4" w:space="0" w:color="auto"/>
              <w:left w:val="nil"/>
              <w:bottom w:val="single" w:sz="4" w:space="0" w:color="auto"/>
              <w:right w:val="single" w:sz="4" w:space="0" w:color="auto"/>
            </w:tcBorders>
            <w:vAlign w:val="center"/>
          </w:tcPr>
          <w:p w14:paraId="3B64607B"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10" w:type="dxa"/>
            <w:tcBorders>
              <w:top w:val="single" w:sz="4" w:space="0" w:color="auto"/>
              <w:left w:val="nil"/>
              <w:bottom w:val="single" w:sz="4" w:space="0" w:color="auto"/>
              <w:right w:val="single" w:sz="4" w:space="0" w:color="auto"/>
            </w:tcBorders>
            <w:vAlign w:val="center"/>
          </w:tcPr>
          <w:p w14:paraId="14D61E43"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478" w:type="dxa"/>
            <w:tcBorders>
              <w:top w:val="single" w:sz="4" w:space="0" w:color="auto"/>
              <w:left w:val="nil"/>
              <w:bottom w:val="single" w:sz="4" w:space="0" w:color="auto"/>
              <w:right w:val="single" w:sz="4" w:space="0" w:color="auto"/>
            </w:tcBorders>
            <w:vAlign w:val="center"/>
          </w:tcPr>
          <w:p w14:paraId="7553A011"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78" w:type="dxa"/>
            <w:tcBorders>
              <w:top w:val="single" w:sz="4" w:space="0" w:color="auto"/>
              <w:left w:val="nil"/>
              <w:bottom w:val="single" w:sz="4" w:space="0" w:color="auto"/>
              <w:right w:val="single" w:sz="4" w:space="0" w:color="auto"/>
            </w:tcBorders>
            <w:vAlign w:val="center"/>
          </w:tcPr>
          <w:p w14:paraId="2430A111"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477" w:type="dxa"/>
            <w:tcBorders>
              <w:top w:val="single" w:sz="4" w:space="0" w:color="auto"/>
              <w:left w:val="nil"/>
              <w:bottom w:val="single" w:sz="4" w:space="0" w:color="auto"/>
              <w:right w:val="single" w:sz="4" w:space="0" w:color="auto"/>
            </w:tcBorders>
            <w:vAlign w:val="center"/>
          </w:tcPr>
          <w:p w14:paraId="789FCA6F"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11" w:type="dxa"/>
            <w:tcBorders>
              <w:top w:val="single" w:sz="4" w:space="0" w:color="auto"/>
              <w:left w:val="nil"/>
              <w:bottom w:val="single" w:sz="4" w:space="0" w:color="auto"/>
              <w:right w:val="single" w:sz="4" w:space="0" w:color="auto"/>
            </w:tcBorders>
            <w:vAlign w:val="center"/>
          </w:tcPr>
          <w:p w14:paraId="25260C8C"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c>
          <w:tcPr>
            <w:tcW w:w="461" w:type="dxa"/>
            <w:tcBorders>
              <w:top w:val="single" w:sz="4" w:space="0" w:color="auto"/>
              <w:left w:val="nil"/>
              <w:bottom w:val="single" w:sz="4" w:space="0" w:color="auto"/>
              <w:right w:val="single" w:sz="4" w:space="0" w:color="auto"/>
            </w:tcBorders>
          </w:tcPr>
          <w:p w14:paraId="3FBC1307"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საერთო რ-ბა</w:t>
            </w:r>
          </w:p>
        </w:tc>
        <w:tc>
          <w:tcPr>
            <w:tcW w:w="425" w:type="dxa"/>
            <w:tcBorders>
              <w:top w:val="single" w:sz="4" w:space="0" w:color="auto"/>
              <w:left w:val="nil"/>
              <w:bottom w:val="single" w:sz="4" w:space="0" w:color="auto"/>
              <w:right w:val="single" w:sz="4" w:space="0" w:color="auto"/>
            </w:tcBorders>
          </w:tcPr>
          <w:p w14:paraId="2D32C7EA" w14:textId="77777777" w:rsidR="00873008" w:rsidRPr="00ED7ABF" w:rsidRDefault="00873008" w:rsidP="00F86501">
            <w:pPr>
              <w:spacing w:after="0" w:line="240" w:lineRule="auto"/>
              <w:jc w:val="center"/>
              <w:rPr>
                <w:rFonts w:ascii="Sylfaen" w:eastAsia="Times New Roman" w:hAnsi="Sylfaen" w:cs="Sylfaen"/>
                <w:b/>
                <w:bCs/>
                <w:color w:val="000000"/>
                <w:sz w:val="18"/>
                <w:szCs w:val="20"/>
                <w:lang w:val="ka-GE"/>
              </w:rPr>
            </w:pPr>
            <w:r w:rsidRPr="00ED7ABF">
              <w:rPr>
                <w:rFonts w:ascii="Sylfaen" w:eastAsia="Times New Roman" w:hAnsi="Sylfaen" w:cs="Sylfaen"/>
                <w:b/>
                <w:bCs/>
                <w:color w:val="000000"/>
                <w:sz w:val="18"/>
                <w:szCs w:val="20"/>
                <w:lang w:val="ka-GE"/>
              </w:rPr>
              <w:t>განმ-ითი</w:t>
            </w:r>
          </w:p>
        </w:tc>
      </w:tr>
      <w:tr w:rsidR="00873008" w:rsidRPr="00ED7ABF" w14:paraId="62CC2191" w14:textId="77777777" w:rsidTr="00873008">
        <w:trPr>
          <w:gridAfter w:val="1"/>
          <w:wAfter w:w="19" w:type="dxa"/>
          <w:trHeight w:val="281"/>
        </w:trPr>
        <w:tc>
          <w:tcPr>
            <w:tcW w:w="677" w:type="dxa"/>
            <w:tcBorders>
              <w:top w:val="nil"/>
              <w:left w:val="single" w:sz="4" w:space="0" w:color="auto"/>
              <w:bottom w:val="single" w:sz="4" w:space="0" w:color="auto"/>
              <w:right w:val="single" w:sz="4" w:space="0" w:color="auto"/>
            </w:tcBorders>
            <w:shd w:val="clear" w:color="auto" w:fill="auto"/>
            <w:vAlign w:val="center"/>
          </w:tcPr>
          <w:p w14:paraId="0862F6CE" w14:textId="77777777" w:rsidR="00873008" w:rsidRPr="00ED7ABF" w:rsidRDefault="00873008" w:rsidP="00F86501">
            <w:pPr>
              <w:spacing w:after="0" w:line="240" w:lineRule="auto"/>
              <w:rPr>
                <w:rFonts w:ascii="Sylfaen" w:eastAsia="Times New Roman" w:hAnsi="Sylfaen" w:cs="Arial"/>
                <w:color w:val="000000"/>
                <w:sz w:val="18"/>
                <w:lang w:val="ka-GE"/>
              </w:rPr>
            </w:pPr>
            <w:r w:rsidRPr="00ED7ABF">
              <w:rPr>
                <w:rFonts w:ascii="Sylfaen" w:eastAsia="Times New Roman" w:hAnsi="Sylfaen" w:cs="Arial"/>
                <w:color w:val="000000"/>
                <w:sz w:val="18"/>
                <w:lang w:val="ka-GE"/>
              </w:rPr>
              <w:t>30.01-29.02</w:t>
            </w:r>
          </w:p>
        </w:tc>
        <w:tc>
          <w:tcPr>
            <w:tcW w:w="543" w:type="dxa"/>
            <w:tcBorders>
              <w:top w:val="nil"/>
              <w:left w:val="nil"/>
              <w:bottom w:val="single" w:sz="4" w:space="0" w:color="auto"/>
              <w:right w:val="single" w:sz="4" w:space="0" w:color="auto"/>
            </w:tcBorders>
            <w:shd w:val="clear" w:color="auto" w:fill="auto"/>
            <w:noWrap/>
            <w:vAlign w:val="center"/>
          </w:tcPr>
          <w:p w14:paraId="57A2EFB6"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134</w:t>
            </w:r>
          </w:p>
        </w:tc>
        <w:tc>
          <w:tcPr>
            <w:tcW w:w="476" w:type="dxa"/>
            <w:tcBorders>
              <w:top w:val="nil"/>
              <w:left w:val="nil"/>
              <w:bottom w:val="single" w:sz="4" w:space="0" w:color="auto"/>
              <w:right w:val="single" w:sz="4" w:space="0" w:color="auto"/>
            </w:tcBorders>
            <w:vAlign w:val="center"/>
          </w:tcPr>
          <w:p w14:paraId="20D2FFC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w:t>
            </w:r>
          </w:p>
        </w:tc>
        <w:tc>
          <w:tcPr>
            <w:tcW w:w="543" w:type="dxa"/>
            <w:tcBorders>
              <w:top w:val="nil"/>
              <w:left w:val="nil"/>
              <w:bottom w:val="single" w:sz="4" w:space="0" w:color="auto"/>
              <w:right w:val="single" w:sz="4" w:space="0" w:color="auto"/>
            </w:tcBorders>
            <w:vAlign w:val="center"/>
          </w:tcPr>
          <w:p w14:paraId="59AAFC8F"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09" w:type="dxa"/>
            <w:tcBorders>
              <w:top w:val="nil"/>
              <w:left w:val="nil"/>
              <w:bottom w:val="single" w:sz="4" w:space="0" w:color="auto"/>
              <w:right w:val="single" w:sz="4" w:space="0" w:color="auto"/>
            </w:tcBorders>
            <w:vAlign w:val="center"/>
          </w:tcPr>
          <w:p w14:paraId="0FA7EB8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3803F50F"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0" w:type="dxa"/>
            <w:tcBorders>
              <w:top w:val="nil"/>
              <w:left w:val="nil"/>
              <w:bottom w:val="single" w:sz="4" w:space="0" w:color="auto"/>
              <w:right w:val="single" w:sz="4" w:space="0" w:color="auto"/>
            </w:tcBorders>
            <w:vAlign w:val="center"/>
          </w:tcPr>
          <w:p w14:paraId="0ADD17D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5EE77ED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4" w:type="dxa"/>
            <w:tcBorders>
              <w:top w:val="nil"/>
              <w:left w:val="nil"/>
              <w:bottom w:val="single" w:sz="4" w:space="0" w:color="auto"/>
              <w:right w:val="single" w:sz="4" w:space="0" w:color="auto"/>
            </w:tcBorders>
            <w:vAlign w:val="center"/>
          </w:tcPr>
          <w:p w14:paraId="71F92C9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59" w:type="dxa"/>
            <w:tcBorders>
              <w:top w:val="nil"/>
              <w:left w:val="nil"/>
              <w:bottom w:val="single" w:sz="4" w:space="0" w:color="auto"/>
              <w:right w:val="single" w:sz="4" w:space="0" w:color="auto"/>
            </w:tcBorders>
            <w:vAlign w:val="center"/>
          </w:tcPr>
          <w:p w14:paraId="7F30385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1" w:type="dxa"/>
            <w:tcBorders>
              <w:top w:val="nil"/>
              <w:left w:val="nil"/>
              <w:bottom w:val="single" w:sz="4" w:space="0" w:color="auto"/>
              <w:right w:val="single" w:sz="4" w:space="0" w:color="auto"/>
            </w:tcBorders>
            <w:vAlign w:val="center"/>
          </w:tcPr>
          <w:p w14:paraId="77EEC80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7" w:type="dxa"/>
            <w:tcBorders>
              <w:top w:val="nil"/>
              <w:left w:val="nil"/>
              <w:bottom w:val="single" w:sz="4" w:space="0" w:color="auto"/>
              <w:right w:val="single" w:sz="4" w:space="0" w:color="auto"/>
            </w:tcBorders>
            <w:vAlign w:val="center"/>
          </w:tcPr>
          <w:p w14:paraId="1E7BE38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4" w:type="dxa"/>
            <w:tcBorders>
              <w:top w:val="nil"/>
              <w:left w:val="nil"/>
              <w:bottom w:val="single" w:sz="4" w:space="0" w:color="auto"/>
              <w:right w:val="single" w:sz="4" w:space="0" w:color="auto"/>
            </w:tcBorders>
            <w:vAlign w:val="center"/>
          </w:tcPr>
          <w:p w14:paraId="11D53E37"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80" w:type="dxa"/>
            <w:tcBorders>
              <w:top w:val="nil"/>
              <w:left w:val="nil"/>
              <w:bottom w:val="single" w:sz="4" w:space="0" w:color="auto"/>
              <w:right w:val="single" w:sz="4" w:space="0" w:color="auto"/>
            </w:tcBorders>
            <w:vAlign w:val="center"/>
          </w:tcPr>
          <w:p w14:paraId="3CC07AF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0" w:type="dxa"/>
            <w:tcBorders>
              <w:top w:val="nil"/>
              <w:left w:val="nil"/>
              <w:bottom w:val="single" w:sz="4" w:space="0" w:color="auto"/>
              <w:right w:val="single" w:sz="4" w:space="0" w:color="auto"/>
            </w:tcBorders>
            <w:vAlign w:val="center"/>
          </w:tcPr>
          <w:p w14:paraId="3F3AAF1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8" w:type="dxa"/>
            <w:tcBorders>
              <w:top w:val="nil"/>
              <w:left w:val="nil"/>
              <w:bottom w:val="single" w:sz="4" w:space="0" w:color="auto"/>
              <w:right w:val="single" w:sz="4" w:space="0" w:color="auto"/>
            </w:tcBorders>
            <w:vAlign w:val="center"/>
          </w:tcPr>
          <w:p w14:paraId="495C299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97" w:type="dxa"/>
            <w:tcBorders>
              <w:top w:val="nil"/>
              <w:left w:val="nil"/>
              <w:bottom w:val="single" w:sz="4" w:space="0" w:color="auto"/>
              <w:right w:val="single" w:sz="4" w:space="0" w:color="auto"/>
            </w:tcBorders>
            <w:vAlign w:val="center"/>
          </w:tcPr>
          <w:p w14:paraId="6FB4B26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1" w:type="dxa"/>
            <w:tcBorders>
              <w:top w:val="nil"/>
              <w:left w:val="nil"/>
              <w:bottom w:val="single" w:sz="4" w:space="0" w:color="auto"/>
              <w:right w:val="single" w:sz="4" w:space="0" w:color="auto"/>
            </w:tcBorders>
            <w:vAlign w:val="center"/>
          </w:tcPr>
          <w:p w14:paraId="022D729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0" w:type="dxa"/>
            <w:tcBorders>
              <w:top w:val="nil"/>
              <w:left w:val="nil"/>
              <w:bottom w:val="single" w:sz="4" w:space="0" w:color="auto"/>
              <w:right w:val="single" w:sz="4" w:space="0" w:color="auto"/>
            </w:tcBorders>
            <w:vAlign w:val="center"/>
          </w:tcPr>
          <w:p w14:paraId="2490C11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604BC9A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5684BF2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7" w:type="dxa"/>
            <w:tcBorders>
              <w:top w:val="nil"/>
              <w:left w:val="nil"/>
              <w:bottom w:val="single" w:sz="4" w:space="0" w:color="auto"/>
              <w:right w:val="single" w:sz="4" w:space="0" w:color="auto"/>
            </w:tcBorders>
            <w:vAlign w:val="center"/>
          </w:tcPr>
          <w:p w14:paraId="3DA6E63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1" w:type="dxa"/>
            <w:tcBorders>
              <w:top w:val="nil"/>
              <w:left w:val="nil"/>
              <w:bottom w:val="single" w:sz="4" w:space="0" w:color="auto"/>
              <w:right w:val="single" w:sz="4" w:space="0" w:color="auto"/>
            </w:tcBorders>
            <w:vAlign w:val="center"/>
          </w:tcPr>
          <w:p w14:paraId="46DA565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1" w:type="dxa"/>
            <w:tcBorders>
              <w:top w:val="nil"/>
              <w:left w:val="nil"/>
              <w:bottom w:val="single" w:sz="4" w:space="0" w:color="auto"/>
              <w:right w:val="single" w:sz="4" w:space="0" w:color="auto"/>
            </w:tcBorders>
            <w:vAlign w:val="center"/>
          </w:tcPr>
          <w:p w14:paraId="412E642D"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25" w:type="dxa"/>
            <w:tcBorders>
              <w:top w:val="nil"/>
              <w:left w:val="nil"/>
              <w:bottom w:val="single" w:sz="4" w:space="0" w:color="auto"/>
              <w:right w:val="single" w:sz="4" w:space="0" w:color="auto"/>
            </w:tcBorders>
            <w:vAlign w:val="center"/>
          </w:tcPr>
          <w:p w14:paraId="2BC5EAC4"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r>
      <w:tr w:rsidR="00873008" w:rsidRPr="00ED7ABF" w14:paraId="7D2BB25A" w14:textId="77777777" w:rsidTr="00873008">
        <w:trPr>
          <w:gridAfter w:val="1"/>
          <w:wAfter w:w="19" w:type="dxa"/>
          <w:trHeight w:val="281"/>
        </w:trPr>
        <w:tc>
          <w:tcPr>
            <w:tcW w:w="677" w:type="dxa"/>
            <w:tcBorders>
              <w:top w:val="nil"/>
              <w:left w:val="single" w:sz="4" w:space="0" w:color="auto"/>
              <w:bottom w:val="single" w:sz="4" w:space="0" w:color="auto"/>
              <w:right w:val="single" w:sz="4" w:space="0" w:color="auto"/>
            </w:tcBorders>
            <w:shd w:val="clear" w:color="auto" w:fill="auto"/>
            <w:vAlign w:val="center"/>
          </w:tcPr>
          <w:p w14:paraId="4C3092A3" w14:textId="77777777" w:rsidR="00873008" w:rsidRPr="00ED7ABF" w:rsidRDefault="00873008" w:rsidP="00F86501">
            <w:pPr>
              <w:spacing w:after="0" w:line="240" w:lineRule="auto"/>
              <w:rPr>
                <w:rFonts w:ascii="Sylfaen" w:eastAsia="Times New Roman" w:hAnsi="Sylfaen" w:cs="Arial"/>
                <w:color w:val="000000"/>
                <w:sz w:val="18"/>
                <w:lang w:val="ka-GE"/>
              </w:rPr>
            </w:pPr>
            <w:r w:rsidRPr="00ED7ABF">
              <w:rPr>
                <w:rFonts w:ascii="Sylfaen" w:eastAsia="Times New Roman" w:hAnsi="Sylfaen" w:cs="Arial"/>
                <w:color w:val="000000"/>
                <w:sz w:val="18"/>
                <w:lang w:val="ka-GE"/>
              </w:rPr>
              <w:t>01.03-31.03</w:t>
            </w:r>
          </w:p>
        </w:tc>
        <w:tc>
          <w:tcPr>
            <w:tcW w:w="543" w:type="dxa"/>
            <w:tcBorders>
              <w:top w:val="nil"/>
              <w:left w:val="nil"/>
              <w:bottom w:val="single" w:sz="4" w:space="0" w:color="auto"/>
              <w:right w:val="single" w:sz="4" w:space="0" w:color="auto"/>
            </w:tcBorders>
            <w:shd w:val="clear" w:color="auto" w:fill="auto"/>
            <w:noWrap/>
            <w:vAlign w:val="center"/>
          </w:tcPr>
          <w:p w14:paraId="7E7664A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1480</w:t>
            </w:r>
          </w:p>
        </w:tc>
        <w:tc>
          <w:tcPr>
            <w:tcW w:w="476" w:type="dxa"/>
            <w:tcBorders>
              <w:top w:val="nil"/>
              <w:left w:val="nil"/>
              <w:bottom w:val="single" w:sz="4" w:space="0" w:color="auto"/>
              <w:right w:val="single" w:sz="4" w:space="0" w:color="auto"/>
            </w:tcBorders>
            <w:vAlign w:val="center"/>
          </w:tcPr>
          <w:p w14:paraId="1F0175E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62</w:t>
            </w:r>
          </w:p>
        </w:tc>
        <w:tc>
          <w:tcPr>
            <w:tcW w:w="543" w:type="dxa"/>
            <w:tcBorders>
              <w:top w:val="nil"/>
              <w:left w:val="nil"/>
              <w:bottom w:val="single" w:sz="4" w:space="0" w:color="auto"/>
              <w:right w:val="single" w:sz="4" w:space="0" w:color="auto"/>
            </w:tcBorders>
            <w:vAlign w:val="center"/>
          </w:tcPr>
          <w:p w14:paraId="1613E63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220</w:t>
            </w:r>
          </w:p>
        </w:tc>
        <w:tc>
          <w:tcPr>
            <w:tcW w:w="409" w:type="dxa"/>
            <w:tcBorders>
              <w:top w:val="nil"/>
              <w:left w:val="nil"/>
              <w:bottom w:val="single" w:sz="4" w:space="0" w:color="auto"/>
              <w:right w:val="single" w:sz="4" w:space="0" w:color="auto"/>
            </w:tcBorders>
            <w:vAlign w:val="center"/>
          </w:tcPr>
          <w:p w14:paraId="1473D60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14</w:t>
            </w:r>
          </w:p>
        </w:tc>
        <w:tc>
          <w:tcPr>
            <w:tcW w:w="546" w:type="dxa"/>
            <w:tcBorders>
              <w:top w:val="nil"/>
              <w:left w:val="nil"/>
              <w:bottom w:val="single" w:sz="4" w:space="0" w:color="auto"/>
              <w:right w:val="single" w:sz="4" w:space="0" w:color="auto"/>
            </w:tcBorders>
            <w:vAlign w:val="center"/>
          </w:tcPr>
          <w:p w14:paraId="3AE587C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210</w:t>
            </w:r>
          </w:p>
        </w:tc>
        <w:tc>
          <w:tcPr>
            <w:tcW w:w="410" w:type="dxa"/>
            <w:tcBorders>
              <w:top w:val="nil"/>
              <w:left w:val="nil"/>
              <w:bottom w:val="single" w:sz="4" w:space="0" w:color="auto"/>
              <w:right w:val="single" w:sz="4" w:space="0" w:color="auto"/>
            </w:tcBorders>
            <w:vAlign w:val="center"/>
          </w:tcPr>
          <w:p w14:paraId="1297C07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w:t>
            </w:r>
          </w:p>
        </w:tc>
        <w:tc>
          <w:tcPr>
            <w:tcW w:w="546" w:type="dxa"/>
            <w:tcBorders>
              <w:top w:val="nil"/>
              <w:left w:val="nil"/>
              <w:bottom w:val="single" w:sz="4" w:space="0" w:color="auto"/>
              <w:right w:val="single" w:sz="4" w:space="0" w:color="auto"/>
            </w:tcBorders>
            <w:vAlign w:val="center"/>
          </w:tcPr>
          <w:p w14:paraId="62BEFB14"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322</w:t>
            </w:r>
          </w:p>
        </w:tc>
        <w:tc>
          <w:tcPr>
            <w:tcW w:w="464" w:type="dxa"/>
            <w:tcBorders>
              <w:top w:val="nil"/>
              <w:left w:val="nil"/>
              <w:bottom w:val="single" w:sz="4" w:space="0" w:color="auto"/>
              <w:right w:val="single" w:sz="4" w:space="0" w:color="auto"/>
            </w:tcBorders>
            <w:vAlign w:val="center"/>
          </w:tcPr>
          <w:p w14:paraId="53B31F68"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67</w:t>
            </w:r>
          </w:p>
        </w:tc>
        <w:tc>
          <w:tcPr>
            <w:tcW w:w="559" w:type="dxa"/>
            <w:tcBorders>
              <w:top w:val="nil"/>
              <w:left w:val="nil"/>
              <w:bottom w:val="single" w:sz="4" w:space="0" w:color="auto"/>
              <w:right w:val="single" w:sz="4" w:space="0" w:color="auto"/>
            </w:tcBorders>
            <w:vAlign w:val="center"/>
          </w:tcPr>
          <w:p w14:paraId="19C8BD4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25</w:t>
            </w:r>
          </w:p>
        </w:tc>
        <w:tc>
          <w:tcPr>
            <w:tcW w:w="411" w:type="dxa"/>
            <w:tcBorders>
              <w:top w:val="nil"/>
              <w:left w:val="nil"/>
              <w:bottom w:val="single" w:sz="4" w:space="0" w:color="auto"/>
              <w:right w:val="single" w:sz="4" w:space="0" w:color="auto"/>
            </w:tcBorders>
            <w:vAlign w:val="center"/>
          </w:tcPr>
          <w:p w14:paraId="45117D1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7" w:type="dxa"/>
            <w:tcBorders>
              <w:top w:val="nil"/>
              <w:left w:val="nil"/>
              <w:bottom w:val="single" w:sz="4" w:space="0" w:color="auto"/>
              <w:right w:val="single" w:sz="4" w:space="0" w:color="auto"/>
            </w:tcBorders>
            <w:vAlign w:val="center"/>
          </w:tcPr>
          <w:p w14:paraId="4AF7EB3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4" w:type="dxa"/>
            <w:tcBorders>
              <w:top w:val="nil"/>
              <w:left w:val="nil"/>
              <w:bottom w:val="single" w:sz="4" w:space="0" w:color="auto"/>
              <w:right w:val="single" w:sz="4" w:space="0" w:color="auto"/>
            </w:tcBorders>
            <w:vAlign w:val="center"/>
          </w:tcPr>
          <w:p w14:paraId="24066D8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80" w:type="dxa"/>
            <w:tcBorders>
              <w:top w:val="nil"/>
              <w:left w:val="nil"/>
              <w:bottom w:val="single" w:sz="4" w:space="0" w:color="auto"/>
              <w:right w:val="single" w:sz="4" w:space="0" w:color="auto"/>
            </w:tcBorders>
            <w:vAlign w:val="center"/>
          </w:tcPr>
          <w:p w14:paraId="25A391E8"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0" w:type="dxa"/>
            <w:tcBorders>
              <w:top w:val="nil"/>
              <w:left w:val="nil"/>
              <w:bottom w:val="single" w:sz="4" w:space="0" w:color="auto"/>
              <w:right w:val="single" w:sz="4" w:space="0" w:color="auto"/>
            </w:tcBorders>
            <w:vAlign w:val="center"/>
          </w:tcPr>
          <w:p w14:paraId="0F2132E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8" w:type="dxa"/>
            <w:tcBorders>
              <w:top w:val="nil"/>
              <w:left w:val="nil"/>
              <w:bottom w:val="single" w:sz="4" w:space="0" w:color="auto"/>
              <w:right w:val="single" w:sz="4" w:space="0" w:color="auto"/>
            </w:tcBorders>
            <w:vAlign w:val="center"/>
          </w:tcPr>
          <w:p w14:paraId="07AB3FB6"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97" w:type="dxa"/>
            <w:tcBorders>
              <w:top w:val="nil"/>
              <w:left w:val="nil"/>
              <w:bottom w:val="single" w:sz="4" w:space="0" w:color="auto"/>
              <w:right w:val="single" w:sz="4" w:space="0" w:color="auto"/>
            </w:tcBorders>
            <w:vAlign w:val="center"/>
          </w:tcPr>
          <w:p w14:paraId="4FB7D087"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1" w:type="dxa"/>
            <w:tcBorders>
              <w:top w:val="nil"/>
              <w:left w:val="nil"/>
              <w:bottom w:val="single" w:sz="4" w:space="0" w:color="auto"/>
              <w:right w:val="single" w:sz="4" w:space="0" w:color="auto"/>
            </w:tcBorders>
            <w:vAlign w:val="center"/>
          </w:tcPr>
          <w:p w14:paraId="59C7B9B6"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0" w:type="dxa"/>
            <w:tcBorders>
              <w:top w:val="nil"/>
              <w:left w:val="nil"/>
              <w:bottom w:val="single" w:sz="4" w:space="0" w:color="auto"/>
              <w:right w:val="single" w:sz="4" w:space="0" w:color="auto"/>
            </w:tcBorders>
            <w:vAlign w:val="center"/>
          </w:tcPr>
          <w:p w14:paraId="5E2C5FD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6764D9E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23091C6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7" w:type="dxa"/>
            <w:tcBorders>
              <w:top w:val="nil"/>
              <w:left w:val="nil"/>
              <w:bottom w:val="single" w:sz="4" w:space="0" w:color="auto"/>
              <w:right w:val="single" w:sz="4" w:space="0" w:color="auto"/>
            </w:tcBorders>
            <w:vAlign w:val="center"/>
          </w:tcPr>
          <w:p w14:paraId="2F92B9C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11" w:type="dxa"/>
            <w:tcBorders>
              <w:top w:val="nil"/>
              <w:left w:val="nil"/>
              <w:bottom w:val="single" w:sz="4" w:space="0" w:color="auto"/>
              <w:right w:val="single" w:sz="4" w:space="0" w:color="auto"/>
            </w:tcBorders>
            <w:vAlign w:val="center"/>
          </w:tcPr>
          <w:p w14:paraId="2AEE3A3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1" w:type="dxa"/>
            <w:tcBorders>
              <w:top w:val="nil"/>
              <w:left w:val="nil"/>
              <w:bottom w:val="single" w:sz="4" w:space="0" w:color="auto"/>
              <w:right w:val="single" w:sz="4" w:space="0" w:color="auto"/>
            </w:tcBorders>
            <w:vAlign w:val="center"/>
          </w:tcPr>
          <w:p w14:paraId="103C6D4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25" w:type="dxa"/>
            <w:tcBorders>
              <w:top w:val="nil"/>
              <w:left w:val="nil"/>
              <w:bottom w:val="single" w:sz="4" w:space="0" w:color="auto"/>
              <w:right w:val="single" w:sz="4" w:space="0" w:color="auto"/>
            </w:tcBorders>
            <w:vAlign w:val="center"/>
          </w:tcPr>
          <w:p w14:paraId="79383A9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r>
      <w:tr w:rsidR="00873008" w:rsidRPr="00ED7ABF" w14:paraId="6F1D5268" w14:textId="77777777" w:rsidTr="00873008">
        <w:trPr>
          <w:gridAfter w:val="1"/>
          <w:wAfter w:w="19" w:type="dxa"/>
          <w:trHeight w:val="317"/>
        </w:trPr>
        <w:tc>
          <w:tcPr>
            <w:tcW w:w="677" w:type="dxa"/>
            <w:tcBorders>
              <w:top w:val="nil"/>
              <w:left w:val="single" w:sz="4" w:space="0" w:color="auto"/>
              <w:bottom w:val="single" w:sz="4" w:space="0" w:color="auto"/>
              <w:right w:val="single" w:sz="4" w:space="0" w:color="auto"/>
            </w:tcBorders>
            <w:shd w:val="clear" w:color="auto" w:fill="auto"/>
            <w:vAlign w:val="center"/>
          </w:tcPr>
          <w:p w14:paraId="10661345" w14:textId="77777777" w:rsidR="00873008" w:rsidRPr="00ED7ABF" w:rsidRDefault="00873008" w:rsidP="00F86501">
            <w:pPr>
              <w:spacing w:after="0" w:line="240" w:lineRule="auto"/>
              <w:rPr>
                <w:rFonts w:ascii="Sylfaen" w:eastAsia="Times New Roman" w:hAnsi="Sylfaen" w:cs="Arial"/>
                <w:color w:val="000000"/>
                <w:sz w:val="18"/>
                <w:lang w:val="ka-GE"/>
              </w:rPr>
            </w:pPr>
            <w:r w:rsidRPr="00ED7ABF">
              <w:rPr>
                <w:rFonts w:ascii="Sylfaen" w:eastAsia="Times New Roman" w:hAnsi="Sylfaen" w:cs="Arial"/>
                <w:color w:val="000000"/>
                <w:sz w:val="18"/>
                <w:lang w:val="ka-GE"/>
              </w:rPr>
              <w:t>01-04-30.04</w:t>
            </w:r>
          </w:p>
        </w:tc>
        <w:tc>
          <w:tcPr>
            <w:tcW w:w="543" w:type="dxa"/>
            <w:tcBorders>
              <w:top w:val="nil"/>
              <w:left w:val="nil"/>
              <w:bottom w:val="single" w:sz="4" w:space="0" w:color="auto"/>
              <w:right w:val="single" w:sz="4" w:space="0" w:color="auto"/>
            </w:tcBorders>
            <w:shd w:val="clear" w:color="auto" w:fill="auto"/>
            <w:noWrap/>
            <w:vAlign w:val="center"/>
          </w:tcPr>
          <w:p w14:paraId="36FDF93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5853</w:t>
            </w:r>
          </w:p>
        </w:tc>
        <w:tc>
          <w:tcPr>
            <w:tcW w:w="476" w:type="dxa"/>
            <w:tcBorders>
              <w:top w:val="nil"/>
              <w:left w:val="nil"/>
              <w:bottom w:val="single" w:sz="4" w:space="0" w:color="auto"/>
              <w:right w:val="single" w:sz="4" w:space="0" w:color="auto"/>
            </w:tcBorders>
            <w:vAlign w:val="center"/>
          </w:tcPr>
          <w:p w14:paraId="484D65F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253</w:t>
            </w:r>
          </w:p>
        </w:tc>
        <w:tc>
          <w:tcPr>
            <w:tcW w:w="543" w:type="dxa"/>
            <w:tcBorders>
              <w:top w:val="nil"/>
              <w:left w:val="nil"/>
              <w:bottom w:val="single" w:sz="4" w:space="0" w:color="auto"/>
              <w:right w:val="single" w:sz="4" w:space="0" w:color="auto"/>
            </w:tcBorders>
            <w:vAlign w:val="center"/>
          </w:tcPr>
          <w:p w14:paraId="5C4E02D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1938</w:t>
            </w:r>
          </w:p>
        </w:tc>
        <w:tc>
          <w:tcPr>
            <w:tcW w:w="409" w:type="dxa"/>
            <w:tcBorders>
              <w:top w:val="nil"/>
              <w:left w:val="nil"/>
              <w:bottom w:val="single" w:sz="4" w:space="0" w:color="auto"/>
              <w:right w:val="single" w:sz="4" w:space="0" w:color="auto"/>
            </w:tcBorders>
            <w:vAlign w:val="center"/>
          </w:tcPr>
          <w:p w14:paraId="37D07FFF"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30</w:t>
            </w:r>
          </w:p>
        </w:tc>
        <w:tc>
          <w:tcPr>
            <w:tcW w:w="546" w:type="dxa"/>
            <w:tcBorders>
              <w:top w:val="nil"/>
              <w:left w:val="nil"/>
              <w:bottom w:val="single" w:sz="4" w:space="0" w:color="auto"/>
              <w:right w:val="single" w:sz="4" w:space="0" w:color="auto"/>
            </w:tcBorders>
            <w:vAlign w:val="center"/>
          </w:tcPr>
          <w:p w14:paraId="54CB3DD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3595</w:t>
            </w:r>
          </w:p>
        </w:tc>
        <w:tc>
          <w:tcPr>
            <w:tcW w:w="410" w:type="dxa"/>
            <w:tcBorders>
              <w:top w:val="nil"/>
              <w:left w:val="nil"/>
              <w:bottom w:val="single" w:sz="4" w:space="0" w:color="auto"/>
              <w:right w:val="single" w:sz="4" w:space="0" w:color="auto"/>
            </w:tcBorders>
            <w:vAlign w:val="center"/>
          </w:tcPr>
          <w:p w14:paraId="140F4F26"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47</w:t>
            </w:r>
          </w:p>
        </w:tc>
        <w:tc>
          <w:tcPr>
            <w:tcW w:w="546" w:type="dxa"/>
            <w:tcBorders>
              <w:top w:val="nil"/>
              <w:left w:val="nil"/>
              <w:bottom w:val="single" w:sz="4" w:space="0" w:color="auto"/>
              <w:right w:val="single" w:sz="4" w:space="0" w:color="auto"/>
            </w:tcBorders>
            <w:vAlign w:val="center"/>
          </w:tcPr>
          <w:p w14:paraId="2A5C1E9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792</w:t>
            </w:r>
          </w:p>
        </w:tc>
        <w:tc>
          <w:tcPr>
            <w:tcW w:w="464" w:type="dxa"/>
            <w:tcBorders>
              <w:top w:val="nil"/>
              <w:left w:val="nil"/>
              <w:bottom w:val="single" w:sz="4" w:space="0" w:color="auto"/>
              <w:right w:val="single" w:sz="4" w:space="0" w:color="auto"/>
            </w:tcBorders>
            <w:vAlign w:val="center"/>
          </w:tcPr>
          <w:p w14:paraId="2B0DC8F7"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267</w:t>
            </w:r>
          </w:p>
        </w:tc>
        <w:tc>
          <w:tcPr>
            <w:tcW w:w="559" w:type="dxa"/>
            <w:tcBorders>
              <w:top w:val="nil"/>
              <w:left w:val="nil"/>
              <w:bottom w:val="single" w:sz="4" w:space="0" w:color="auto"/>
              <w:right w:val="single" w:sz="4" w:space="0" w:color="auto"/>
            </w:tcBorders>
            <w:vAlign w:val="center"/>
          </w:tcPr>
          <w:p w14:paraId="4AE38438"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796</w:t>
            </w:r>
          </w:p>
        </w:tc>
        <w:tc>
          <w:tcPr>
            <w:tcW w:w="411" w:type="dxa"/>
            <w:tcBorders>
              <w:top w:val="nil"/>
              <w:left w:val="nil"/>
              <w:bottom w:val="single" w:sz="4" w:space="0" w:color="auto"/>
              <w:right w:val="single" w:sz="4" w:space="0" w:color="auto"/>
            </w:tcBorders>
            <w:vAlign w:val="center"/>
          </w:tcPr>
          <w:p w14:paraId="1554460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45</w:t>
            </w:r>
          </w:p>
        </w:tc>
        <w:tc>
          <w:tcPr>
            <w:tcW w:w="477" w:type="dxa"/>
            <w:tcBorders>
              <w:top w:val="nil"/>
              <w:left w:val="nil"/>
              <w:bottom w:val="single" w:sz="4" w:space="0" w:color="auto"/>
              <w:right w:val="single" w:sz="4" w:space="0" w:color="auto"/>
            </w:tcBorders>
            <w:vAlign w:val="center"/>
          </w:tcPr>
          <w:p w14:paraId="5D0FC47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281</w:t>
            </w:r>
          </w:p>
        </w:tc>
        <w:tc>
          <w:tcPr>
            <w:tcW w:w="414" w:type="dxa"/>
            <w:tcBorders>
              <w:top w:val="nil"/>
              <w:left w:val="nil"/>
              <w:bottom w:val="single" w:sz="4" w:space="0" w:color="auto"/>
              <w:right w:val="single" w:sz="4" w:space="0" w:color="auto"/>
            </w:tcBorders>
            <w:vAlign w:val="center"/>
          </w:tcPr>
          <w:p w14:paraId="40F143CD"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80" w:type="dxa"/>
            <w:tcBorders>
              <w:top w:val="nil"/>
              <w:left w:val="nil"/>
              <w:bottom w:val="single" w:sz="4" w:space="0" w:color="auto"/>
              <w:right w:val="single" w:sz="4" w:space="0" w:color="auto"/>
            </w:tcBorders>
            <w:vAlign w:val="center"/>
          </w:tcPr>
          <w:p w14:paraId="02C2F44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317</w:t>
            </w:r>
          </w:p>
        </w:tc>
        <w:tc>
          <w:tcPr>
            <w:tcW w:w="410" w:type="dxa"/>
            <w:tcBorders>
              <w:top w:val="nil"/>
              <w:left w:val="nil"/>
              <w:bottom w:val="single" w:sz="4" w:space="0" w:color="auto"/>
              <w:right w:val="single" w:sz="4" w:space="0" w:color="auto"/>
            </w:tcBorders>
            <w:vAlign w:val="center"/>
          </w:tcPr>
          <w:p w14:paraId="0C2120D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11</w:t>
            </w:r>
          </w:p>
        </w:tc>
        <w:tc>
          <w:tcPr>
            <w:tcW w:w="548" w:type="dxa"/>
            <w:tcBorders>
              <w:top w:val="nil"/>
              <w:left w:val="nil"/>
              <w:bottom w:val="single" w:sz="4" w:space="0" w:color="auto"/>
              <w:right w:val="single" w:sz="4" w:space="0" w:color="auto"/>
            </w:tcBorders>
            <w:vAlign w:val="center"/>
          </w:tcPr>
          <w:p w14:paraId="6DF630B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252</w:t>
            </w:r>
          </w:p>
        </w:tc>
        <w:tc>
          <w:tcPr>
            <w:tcW w:w="497" w:type="dxa"/>
            <w:tcBorders>
              <w:top w:val="nil"/>
              <w:left w:val="nil"/>
              <w:bottom w:val="single" w:sz="4" w:space="0" w:color="auto"/>
              <w:right w:val="single" w:sz="4" w:space="0" w:color="auto"/>
            </w:tcBorders>
            <w:vAlign w:val="center"/>
          </w:tcPr>
          <w:p w14:paraId="18B81EC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102</w:t>
            </w:r>
          </w:p>
        </w:tc>
        <w:tc>
          <w:tcPr>
            <w:tcW w:w="461" w:type="dxa"/>
            <w:tcBorders>
              <w:top w:val="nil"/>
              <w:left w:val="nil"/>
              <w:bottom w:val="single" w:sz="4" w:space="0" w:color="auto"/>
              <w:right w:val="single" w:sz="4" w:space="0" w:color="auto"/>
            </w:tcBorders>
            <w:vAlign w:val="center"/>
          </w:tcPr>
          <w:p w14:paraId="6A80E93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179</w:t>
            </w:r>
          </w:p>
        </w:tc>
        <w:tc>
          <w:tcPr>
            <w:tcW w:w="410" w:type="dxa"/>
            <w:tcBorders>
              <w:top w:val="nil"/>
              <w:left w:val="nil"/>
              <w:bottom w:val="single" w:sz="4" w:space="0" w:color="auto"/>
              <w:right w:val="single" w:sz="4" w:space="0" w:color="auto"/>
            </w:tcBorders>
            <w:vAlign w:val="center"/>
          </w:tcPr>
          <w:p w14:paraId="6E80D78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w:t>
            </w:r>
          </w:p>
        </w:tc>
        <w:tc>
          <w:tcPr>
            <w:tcW w:w="478" w:type="dxa"/>
            <w:tcBorders>
              <w:top w:val="nil"/>
              <w:left w:val="nil"/>
              <w:bottom w:val="single" w:sz="4" w:space="0" w:color="auto"/>
              <w:right w:val="single" w:sz="4" w:space="0" w:color="auto"/>
            </w:tcBorders>
            <w:vAlign w:val="center"/>
          </w:tcPr>
          <w:p w14:paraId="5FD90E0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309</w:t>
            </w:r>
          </w:p>
        </w:tc>
        <w:tc>
          <w:tcPr>
            <w:tcW w:w="478" w:type="dxa"/>
            <w:tcBorders>
              <w:top w:val="nil"/>
              <w:left w:val="nil"/>
              <w:bottom w:val="single" w:sz="4" w:space="0" w:color="auto"/>
              <w:right w:val="single" w:sz="4" w:space="0" w:color="auto"/>
            </w:tcBorders>
            <w:vAlign w:val="center"/>
          </w:tcPr>
          <w:p w14:paraId="24FB7D4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10</w:t>
            </w:r>
          </w:p>
        </w:tc>
        <w:tc>
          <w:tcPr>
            <w:tcW w:w="477" w:type="dxa"/>
            <w:tcBorders>
              <w:top w:val="nil"/>
              <w:left w:val="nil"/>
              <w:bottom w:val="single" w:sz="4" w:space="0" w:color="auto"/>
              <w:right w:val="single" w:sz="4" w:space="0" w:color="auto"/>
            </w:tcBorders>
            <w:vAlign w:val="center"/>
          </w:tcPr>
          <w:p w14:paraId="5F02E89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103</w:t>
            </w:r>
          </w:p>
        </w:tc>
        <w:tc>
          <w:tcPr>
            <w:tcW w:w="411" w:type="dxa"/>
            <w:tcBorders>
              <w:top w:val="nil"/>
              <w:left w:val="nil"/>
              <w:bottom w:val="single" w:sz="4" w:space="0" w:color="auto"/>
              <w:right w:val="single" w:sz="4" w:space="0" w:color="auto"/>
            </w:tcBorders>
            <w:vAlign w:val="center"/>
          </w:tcPr>
          <w:p w14:paraId="0DA2894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10</w:t>
            </w:r>
          </w:p>
        </w:tc>
        <w:tc>
          <w:tcPr>
            <w:tcW w:w="461" w:type="dxa"/>
            <w:tcBorders>
              <w:top w:val="nil"/>
              <w:left w:val="nil"/>
              <w:bottom w:val="single" w:sz="4" w:space="0" w:color="auto"/>
              <w:right w:val="single" w:sz="4" w:space="0" w:color="auto"/>
            </w:tcBorders>
            <w:vAlign w:val="center"/>
          </w:tcPr>
          <w:p w14:paraId="2F7861A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43</w:t>
            </w:r>
          </w:p>
        </w:tc>
        <w:tc>
          <w:tcPr>
            <w:tcW w:w="425" w:type="dxa"/>
            <w:tcBorders>
              <w:top w:val="nil"/>
              <w:left w:val="nil"/>
              <w:bottom w:val="single" w:sz="4" w:space="0" w:color="auto"/>
              <w:right w:val="single" w:sz="4" w:space="0" w:color="auto"/>
            </w:tcBorders>
            <w:vAlign w:val="center"/>
          </w:tcPr>
          <w:p w14:paraId="3845F6E4"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9</w:t>
            </w:r>
          </w:p>
        </w:tc>
      </w:tr>
      <w:tr w:rsidR="00873008" w:rsidRPr="00ED7ABF" w14:paraId="075584B6" w14:textId="77777777" w:rsidTr="00873008">
        <w:trPr>
          <w:gridAfter w:val="1"/>
          <w:wAfter w:w="19" w:type="dxa"/>
          <w:trHeight w:val="317"/>
        </w:trPr>
        <w:tc>
          <w:tcPr>
            <w:tcW w:w="677" w:type="dxa"/>
            <w:tcBorders>
              <w:top w:val="nil"/>
              <w:left w:val="single" w:sz="4" w:space="0" w:color="auto"/>
              <w:bottom w:val="single" w:sz="4" w:space="0" w:color="auto"/>
              <w:right w:val="single" w:sz="4" w:space="0" w:color="auto"/>
            </w:tcBorders>
            <w:shd w:val="clear" w:color="auto" w:fill="auto"/>
            <w:vAlign w:val="center"/>
          </w:tcPr>
          <w:p w14:paraId="52EF47DB" w14:textId="77777777" w:rsidR="00873008" w:rsidRPr="00ED7ABF" w:rsidRDefault="00873008" w:rsidP="00F86501">
            <w:pPr>
              <w:spacing w:after="0" w:line="240" w:lineRule="auto"/>
              <w:rPr>
                <w:rFonts w:ascii="Sylfaen" w:eastAsia="Times New Roman" w:hAnsi="Sylfaen" w:cs="Arial"/>
                <w:color w:val="000000"/>
                <w:sz w:val="18"/>
                <w:lang w:val="ka-GE"/>
              </w:rPr>
            </w:pPr>
            <w:r w:rsidRPr="00ED7ABF">
              <w:rPr>
                <w:rFonts w:ascii="Sylfaen" w:eastAsia="Times New Roman" w:hAnsi="Sylfaen" w:cs="Arial"/>
                <w:color w:val="000000"/>
                <w:sz w:val="18"/>
                <w:lang w:val="ka-GE"/>
              </w:rPr>
              <w:t>01.05</w:t>
            </w:r>
          </w:p>
        </w:tc>
        <w:tc>
          <w:tcPr>
            <w:tcW w:w="543" w:type="dxa"/>
            <w:tcBorders>
              <w:top w:val="nil"/>
              <w:left w:val="nil"/>
              <w:bottom w:val="single" w:sz="4" w:space="0" w:color="auto"/>
              <w:right w:val="single" w:sz="4" w:space="0" w:color="auto"/>
            </w:tcBorders>
            <w:shd w:val="clear" w:color="auto" w:fill="auto"/>
            <w:noWrap/>
            <w:vAlign w:val="center"/>
          </w:tcPr>
          <w:p w14:paraId="40A481F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514</w:t>
            </w:r>
          </w:p>
        </w:tc>
        <w:tc>
          <w:tcPr>
            <w:tcW w:w="476" w:type="dxa"/>
            <w:tcBorders>
              <w:top w:val="nil"/>
              <w:left w:val="nil"/>
              <w:bottom w:val="single" w:sz="4" w:space="0" w:color="auto"/>
              <w:right w:val="single" w:sz="4" w:space="0" w:color="auto"/>
            </w:tcBorders>
            <w:vAlign w:val="center"/>
          </w:tcPr>
          <w:p w14:paraId="0219A4D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3" w:type="dxa"/>
            <w:tcBorders>
              <w:top w:val="nil"/>
              <w:left w:val="nil"/>
              <w:bottom w:val="single" w:sz="4" w:space="0" w:color="auto"/>
              <w:right w:val="single" w:sz="4" w:space="0" w:color="auto"/>
            </w:tcBorders>
            <w:vAlign w:val="center"/>
          </w:tcPr>
          <w:p w14:paraId="2CD4842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145</w:t>
            </w:r>
          </w:p>
        </w:tc>
        <w:tc>
          <w:tcPr>
            <w:tcW w:w="409" w:type="dxa"/>
            <w:tcBorders>
              <w:top w:val="nil"/>
              <w:left w:val="nil"/>
              <w:bottom w:val="single" w:sz="4" w:space="0" w:color="auto"/>
              <w:right w:val="single" w:sz="4" w:space="0" w:color="auto"/>
            </w:tcBorders>
            <w:vAlign w:val="center"/>
          </w:tcPr>
          <w:p w14:paraId="6FDD7AD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w:t>
            </w:r>
          </w:p>
        </w:tc>
        <w:tc>
          <w:tcPr>
            <w:tcW w:w="546" w:type="dxa"/>
            <w:tcBorders>
              <w:top w:val="nil"/>
              <w:left w:val="nil"/>
              <w:bottom w:val="single" w:sz="4" w:space="0" w:color="auto"/>
              <w:right w:val="single" w:sz="4" w:space="0" w:color="auto"/>
            </w:tcBorders>
            <w:vAlign w:val="center"/>
          </w:tcPr>
          <w:p w14:paraId="1EBDA7CD"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383</w:t>
            </w:r>
          </w:p>
        </w:tc>
        <w:tc>
          <w:tcPr>
            <w:tcW w:w="410" w:type="dxa"/>
            <w:tcBorders>
              <w:top w:val="nil"/>
              <w:left w:val="nil"/>
              <w:bottom w:val="single" w:sz="4" w:space="0" w:color="auto"/>
              <w:right w:val="single" w:sz="4" w:space="0" w:color="auto"/>
            </w:tcBorders>
            <w:vAlign w:val="center"/>
          </w:tcPr>
          <w:p w14:paraId="6CDB315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30000C6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30</w:t>
            </w:r>
          </w:p>
        </w:tc>
        <w:tc>
          <w:tcPr>
            <w:tcW w:w="464" w:type="dxa"/>
            <w:tcBorders>
              <w:top w:val="nil"/>
              <w:left w:val="nil"/>
              <w:bottom w:val="single" w:sz="4" w:space="0" w:color="auto"/>
              <w:right w:val="single" w:sz="4" w:space="0" w:color="auto"/>
            </w:tcBorders>
            <w:vAlign w:val="center"/>
          </w:tcPr>
          <w:p w14:paraId="0CE9925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11</w:t>
            </w:r>
          </w:p>
        </w:tc>
        <w:tc>
          <w:tcPr>
            <w:tcW w:w="559" w:type="dxa"/>
            <w:tcBorders>
              <w:top w:val="nil"/>
              <w:left w:val="nil"/>
              <w:bottom w:val="single" w:sz="4" w:space="0" w:color="auto"/>
              <w:right w:val="single" w:sz="4" w:space="0" w:color="auto"/>
            </w:tcBorders>
            <w:vAlign w:val="center"/>
          </w:tcPr>
          <w:p w14:paraId="779F8D7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48</w:t>
            </w:r>
          </w:p>
        </w:tc>
        <w:tc>
          <w:tcPr>
            <w:tcW w:w="411" w:type="dxa"/>
            <w:tcBorders>
              <w:top w:val="nil"/>
              <w:left w:val="nil"/>
              <w:bottom w:val="single" w:sz="4" w:space="0" w:color="auto"/>
              <w:right w:val="single" w:sz="4" w:space="0" w:color="auto"/>
            </w:tcBorders>
            <w:vAlign w:val="center"/>
          </w:tcPr>
          <w:p w14:paraId="3F02C5C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w:t>
            </w:r>
          </w:p>
        </w:tc>
        <w:tc>
          <w:tcPr>
            <w:tcW w:w="477" w:type="dxa"/>
            <w:tcBorders>
              <w:top w:val="nil"/>
              <w:left w:val="nil"/>
              <w:bottom w:val="single" w:sz="4" w:space="0" w:color="auto"/>
              <w:right w:val="single" w:sz="4" w:space="0" w:color="auto"/>
            </w:tcBorders>
            <w:vAlign w:val="center"/>
          </w:tcPr>
          <w:p w14:paraId="68694784"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57</w:t>
            </w:r>
          </w:p>
        </w:tc>
        <w:tc>
          <w:tcPr>
            <w:tcW w:w="414" w:type="dxa"/>
            <w:tcBorders>
              <w:top w:val="nil"/>
              <w:left w:val="nil"/>
              <w:bottom w:val="single" w:sz="4" w:space="0" w:color="auto"/>
              <w:right w:val="single" w:sz="4" w:space="0" w:color="auto"/>
            </w:tcBorders>
            <w:vAlign w:val="center"/>
          </w:tcPr>
          <w:p w14:paraId="29E97AF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80" w:type="dxa"/>
            <w:tcBorders>
              <w:top w:val="nil"/>
              <w:left w:val="nil"/>
              <w:bottom w:val="single" w:sz="4" w:space="0" w:color="auto"/>
              <w:right w:val="single" w:sz="4" w:space="0" w:color="auto"/>
            </w:tcBorders>
            <w:vAlign w:val="center"/>
          </w:tcPr>
          <w:p w14:paraId="7D1EC0F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31</w:t>
            </w:r>
          </w:p>
        </w:tc>
        <w:tc>
          <w:tcPr>
            <w:tcW w:w="410" w:type="dxa"/>
            <w:tcBorders>
              <w:top w:val="nil"/>
              <w:left w:val="nil"/>
              <w:bottom w:val="single" w:sz="4" w:space="0" w:color="auto"/>
              <w:right w:val="single" w:sz="4" w:space="0" w:color="auto"/>
            </w:tcBorders>
            <w:vAlign w:val="center"/>
          </w:tcPr>
          <w:p w14:paraId="1FDE049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8" w:type="dxa"/>
            <w:tcBorders>
              <w:top w:val="nil"/>
              <w:left w:val="nil"/>
              <w:bottom w:val="single" w:sz="4" w:space="0" w:color="auto"/>
              <w:right w:val="single" w:sz="4" w:space="0" w:color="auto"/>
            </w:tcBorders>
            <w:vAlign w:val="center"/>
          </w:tcPr>
          <w:p w14:paraId="23632A0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26</w:t>
            </w:r>
          </w:p>
        </w:tc>
        <w:tc>
          <w:tcPr>
            <w:tcW w:w="497" w:type="dxa"/>
            <w:tcBorders>
              <w:top w:val="nil"/>
              <w:left w:val="nil"/>
              <w:bottom w:val="single" w:sz="4" w:space="0" w:color="auto"/>
              <w:right w:val="single" w:sz="4" w:space="0" w:color="auto"/>
            </w:tcBorders>
            <w:vAlign w:val="center"/>
          </w:tcPr>
          <w:p w14:paraId="2E508DE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15</w:t>
            </w:r>
          </w:p>
        </w:tc>
        <w:tc>
          <w:tcPr>
            <w:tcW w:w="461" w:type="dxa"/>
            <w:tcBorders>
              <w:top w:val="nil"/>
              <w:left w:val="nil"/>
              <w:bottom w:val="single" w:sz="4" w:space="0" w:color="auto"/>
              <w:right w:val="single" w:sz="4" w:space="0" w:color="auto"/>
            </w:tcBorders>
            <w:vAlign w:val="center"/>
          </w:tcPr>
          <w:p w14:paraId="6360FA0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40</w:t>
            </w:r>
          </w:p>
        </w:tc>
        <w:tc>
          <w:tcPr>
            <w:tcW w:w="410" w:type="dxa"/>
            <w:tcBorders>
              <w:top w:val="nil"/>
              <w:left w:val="nil"/>
              <w:bottom w:val="single" w:sz="4" w:space="0" w:color="auto"/>
              <w:right w:val="single" w:sz="4" w:space="0" w:color="auto"/>
            </w:tcBorders>
            <w:vAlign w:val="center"/>
          </w:tcPr>
          <w:p w14:paraId="1A6515A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32FD1844"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42</w:t>
            </w:r>
          </w:p>
        </w:tc>
        <w:tc>
          <w:tcPr>
            <w:tcW w:w="478" w:type="dxa"/>
            <w:tcBorders>
              <w:top w:val="nil"/>
              <w:left w:val="nil"/>
              <w:bottom w:val="single" w:sz="4" w:space="0" w:color="auto"/>
              <w:right w:val="single" w:sz="4" w:space="0" w:color="auto"/>
            </w:tcBorders>
            <w:vAlign w:val="center"/>
          </w:tcPr>
          <w:p w14:paraId="3298A5B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7" w:type="dxa"/>
            <w:tcBorders>
              <w:top w:val="nil"/>
              <w:left w:val="nil"/>
              <w:bottom w:val="single" w:sz="4" w:space="0" w:color="auto"/>
              <w:right w:val="single" w:sz="4" w:space="0" w:color="auto"/>
            </w:tcBorders>
            <w:vAlign w:val="center"/>
          </w:tcPr>
          <w:p w14:paraId="251971F6"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63</w:t>
            </w:r>
          </w:p>
        </w:tc>
        <w:tc>
          <w:tcPr>
            <w:tcW w:w="411" w:type="dxa"/>
            <w:tcBorders>
              <w:top w:val="nil"/>
              <w:left w:val="nil"/>
              <w:bottom w:val="single" w:sz="4" w:space="0" w:color="auto"/>
              <w:right w:val="single" w:sz="4" w:space="0" w:color="auto"/>
            </w:tcBorders>
            <w:vAlign w:val="center"/>
          </w:tcPr>
          <w:p w14:paraId="5C35AB1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1" w:type="dxa"/>
            <w:tcBorders>
              <w:top w:val="nil"/>
              <w:left w:val="nil"/>
              <w:bottom w:val="single" w:sz="4" w:space="0" w:color="auto"/>
              <w:right w:val="single" w:sz="4" w:space="0" w:color="auto"/>
            </w:tcBorders>
            <w:vAlign w:val="center"/>
          </w:tcPr>
          <w:p w14:paraId="11F2024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11</w:t>
            </w:r>
          </w:p>
        </w:tc>
        <w:tc>
          <w:tcPr>
            <w:tcW w:w="425" w:type="dxa"/>
            <w:tcBorders>
              <w:top w:val="nil"/>
              <w:left w:val="nil"/>
              <w:bottom w:val="single" w:sz="4" w:space="0" w:color="auto"/>
              <w:right w:val="single" w:sz="4" w:space="0" w:color="auto"/>
            </w:tcBorders>
            <w:vAlign w:val="center"/>
          </w:tcPr>
          <w:p w14:paraId="0C4D2A1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w:t>
            </w:r>
          </w:p>
        </w:tc>
      </w:tr>
      <w:tr w:rsidR="00873008" w:rsidRPr="00ED7ABF" w14:paraId="1E457E43" w14:textId="77777777" w:rsidTr="00873008">
        <w:trPr>
          <w:gridAfter w:val="1"/>
          <w:wAfter w:w="19" w:type="dxa"/>
          <w:trHeight w:val="317"/>
        </w:trPr>
        <w:tc>
          <w:tcPr>
            <w:tcW w:w="677" w:type="dxa"/>
            <w:tcBorders>
              <w:top w:val="nil"/>
              <w:left w:val="single" w:sz="4" w:space="0" w:color="auto"/>
              <w:bottom w:val="single" w:sz="4" w:space="0" w:color="auto"/>
              <w:right w:val="single" w:sz="4" w:space="0" w:color="auto"/>
            </w:tcBorders>
            <w:shd w:val="clear" w:color="auto" w:fill="auto"/>
            <w:vAlign w:val="center"/>
          </w:tcPr>
          <w:p w14:paraId="76D0FC5A" w14:textId="77777777" w:rsidR="00873008" w:rsidRPr="00ED7ABF" w:rsidRDefault="00873008" w:rsidP="00F86501">
            <w:pPr>
              <w:spacing w:after="0" w:line="240" w:lineRule="auto"/>
              <w:rPr>
                <w:rFonts w:ascii="Sylfaen" w:eastAsia="Times New Roman" w:hAnsi="Sylfaen" w:cs="Arial"/>
                <w:color w:val="000000"/>
                <w:sz w:val="18"/>
                <w:lang w:val="ka-GE"/>
              </w:rPr>
            </w:pPr>
            <w:r w:rsidRPr="00ED7ABF">
              <w:rPr>
                <w:rFonts w:ascii="Sylfaen" w:eastAsia="Times New Roman" w:hAnsi="Sylfaen" w:cs="Arial"/>
                <w:color w:val="000000"/>
                <w:sz w:val="18"/>
                <w:lang w:val="ka-GE"/>
              </w:rPr>
              <w:t>02.05</w:t>
            </w:r>
          </w:p>
        </w:tc>
        <w:tc>
          <w:tcPr>
            <w:tcW w:w="543" w:type="dxa"/>
            <w:tcBorders>
              <w:top w:val="nil"/>
              <w:left w:val="nil"/>
              <w:bottom w:val="single" w:sz="4" w:space="0" w:color="auto"/>
              <w:right w:val="single" w:sz="4" w:space="0" w:color="auto"/>
            </w:tcBorders>
            <w:shd w:val="clear" w:color="auto" w:fill="auto"/>
            <w:noWrap/>
            <w:vAlign w:val="center"/>
          </w:tcPr>
          <w:p w14:paraId="4A6DF86A"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319</w:t>
            </w:r>
          </w:p>
        </w:tc>
        <w:tc>
          <w:tcPr>
            <w:tcW w:w="476" w:type="dxa"/>
            <w:tcBorders>
              <w:top w:val="nil"/>
              <w:left w:val="nil"/>
              <w:bottom w:val="single" w:sz="4" w:space="0" w:color="auto"/>
              <w:right w:val="single" w:sz="4" w:space="0" w:color="auto"/>
            </w:tcBorders>
            <w:vAlign w:val="center"/>
          </w:tcPr>
          <w:p w14:paraId="77DFCDC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3" w:type="dxa"/>
            <w:tcBorders>
              <w:top w:val="nil"/>
              <w:left w:val="nil"/>
              <w:bottom w:val="single" w:sz="4" w:space="0" w:color="auto"/>
              <w:right w:val="single" w:sz="4" w:space="0" w:color="auto"/>
            </w:tcBorders>
            <w:vAlign w:val="center"/>
          </w:tcPr>
          <w:p w14:paraId="5FE5376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144</w:t>
            </w:r>
          </w:p>
        </w:tc>
        <w:tc>
          <w:tcPr>
            <w:tcW w:w="409" w:type="dxa"/>
            <w:tcBorders>
              <w:top w:val="nil"/>
              <w:left w:val="nil"/>
              <w:bottom w:val="single" w:sz="4" w:space="0" w:color="auto"/>
              <w:right w:val="single" w:sz="4" w:space="0" w:color="auto"/>
            </w:tcBorders>
            <w:vAlign w:val="center"/>
          </w:tcPr>
          <w:p w14:paraId="778A958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1A97173D"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372</w:t>
            </w:r>
          </w:p>
        </w:tc>
        <w:tc>
          <w:tcPr>
            <w:tcW w:w="410" w:type="dxa"/>
            <w:tcBorders>
              <w:top w:val="nil"/>
              <w:left w:val="nil"/>
              <w:bottom w:val="single" w:sz="4" w:space="0" w:color="auto"/>
              <w:right w:val="single" w:sz="4" w:space="0" w:color="auto"/>
            </w:tcBorders>
            <w:vAlign w:val="center"/>
          </w:tcPr>
          <w:p w14:paraId="316345D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487A47C7"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50</w:t>
            </w:r>
          </w:p>
        </w:tc>
        <w:tc>
          <w:tcPr>
            <w:tcW w:w="464" w:type="dxa"/>
            <w:tcBorders>
              <w:top w:val="nil"/>
              <w:left w:val="nil"/>
              <w:bottom w:val="single" w:sz="4" w:space="0" w:color="auto"/>
              <w:right w:val="single" w:sz="4" w:space="0" w:color="auto"/>
            </w:tcBorders>
            <w:vAlign w:val="center"/>
          </w:tcPr>
          <w:p w14:paraId="162089D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9</w:t>
            </w:r>
          </w:p>
        </w:tc>
        <w:tc>
          <w:tcPr>
            <w:tcW w:w="559" w:type="dxa"/>
            <w:tcBorders>
              <w:top w:val="nil"/>
              <w:left w:val="nil"/>
              <w:bottom w:val="single" w:sz="4" w:space="0" w:color="auto"/>
              <w:right w:val="single" w:sz="4" w:space="0" w:color="auto"/>
            </w:tcBorders>
            <w:vAlign w:val="center"/>
          </w:tcPr>
          <w:p w14:paraId="7955C4B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49</w:t>
            </w:r>
          </w:p>
        </w:tc>
        <w:tc>
          <w:tcPr>
            <w:tcW w:w="411" w:type="dxa"/>
            <w:tcBorders>
              <w:top w:val="nil"/>
              <w:left w:val="nil"/>
              <w:bottom w:val="single" w:sz="4" w:space="0" w:color="auto"/>
              <w:right w:val="single" w:sz="4" w:space="0" w:color="auto"/>
            </w:tcBorders>
            <w:vAlign w:val="center"/>
          </w:tcPr>
          <w:p w14:paraId="6A67993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12</w:t>
            </w:r>
          </w:p>
        </w:tc>
        <w:tc>
          <w:tcPr>
            <w:tcW w:w="477" w:type="dxa"/>
            <w:tcBorders>
              <w:top w:val="nil"/>
              <w:left w:val="nil"/>
              <w:bottom w:val="single" w:sz="4" w:space="0" w:color="auto"/>
              <w:right w:val="single" w:sz="4" w:space="0" w:color="auto"/>
            </w:tcBorders>
            <w:vAlign w:val="center"/>
          </w:tcPr>
          <w:p w14:paraId="236E7208"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60</w:t>
            </w:r>
          </w:p>
        </w:tc>
        <w:tc>
          <w:tcPr>
            <w:tcW w:w="414" w:type="dxa"/>
            <w:tcBorders>
              <w:top w:val="nil"/>
              <w:left w:val="nil"/>
              <w:bottom w:val="single" w:sz="4" w:space="0" w:color="auto"/>
              <w:right w:val="single" w:sz="4" w:space="0" w:color="auto"/>
            </w:tcBorders>
            <w:vAlign w:val="center"/>
          </w:tcPr>
          <w:p w14:paraId="5F19719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80" w:type="dxa"/>
            <w:tcBorders>
              <w:top w:val="nil"/>
              <w:left w:val="nil"/>
              <w:bottom w:val="single" w:sz="4" w:space="0" w:color="auto"/>
              <w:right w:val="single" w:sz="4" w:space="0" w:color="auto"/>
            </w:tcBorders>
            <w:vAlign w:val="center"/>
          </w:tcPr>
          <w:p w14:paraId="6E26F7F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28</w:t>
            </w:r>
          </w:p>
        </w:tc>
        <w:tc>
          <w:tcPr>
            <w:tcW w:w="410" w:type="dxa"/>
            <w:tcBorders>
              <w:top w:val="nil"/>
              <w:left w:val="nil"/>
              <w:bottom w:val="single" w:sz="4" w:space="0" w:color="auto"/>
              <w:right w:val="single" w:sz="4" w:space="0" w:color="auto"/>
            </w:tcBorders>
            <w:vAlign w:val="center"/>
          </w:tcPr>
          <w:p w14:paraId="6804416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w:t>
            </w:r>
          </w:p>
        </w:tc>
        <w:tc>
          <w:tcPr>
            <w:tcW w:w="548" w:type="dxa"/>
            <w:tcBorders>
              <w:top w:val="nil"/>
              <w:left w:val="nil"/>
              <w:bottom w:val="single" w:sz="4" w:space="0" w:color="auto"/>
              <w:right w:val="single" w:sz="4" w:space="0" w:color="auto"/>
            </w:tcBorders>
            <w:vAlign w:val="center"/>
          </w:tcPr>
          <w:p w14:paraId="064D2758"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36</w:t>
            </w:r>
          </w:p>
        </w:tc>
        <w:tc>
          <w:tcPr>
            <w:tcW w:w="497" w:type="dxa"/>
            <w:tcBorders>
              <w:top w:val="nil"/>
              <w:left w:val="nil"/>
              <w:bottom w:val="single" w:sz="4" w:space="0" w:color="auto"/>
              <w:right w:val="single" w:sz="4" w:space="0" w:color="auto"/>
            </w:tcBorders>
            <w:vAlign w:val="center"/>
          </w:tcPr>
          <w:p w14:paraId="58EB0D2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24</w:t>
            </w:r>
          </w:p>
        </w:tc>
        <w:tc>
          <w:tcPr>
            <w:tcW w:w="461" w:type="dxa"/>
            <w:tcBorders>
              <w:top w:val="nil"/>
              <w:left w:val="nil"/>
              <w:bottom w:val="single" w:sz="4" w:space="0" w:color="auto"/>
              <w:right w:val="single" w:sz="4" w:space="0" w:color="auto"/>
            </w:tcBorders>
            <w:vAlign w:val="center"/>
          </w:tcPr>
          <w:p w14:paraId="4C651F4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18</w:t>
            </w:r>
          </w:p>
        </w:tc>
        <w:tc>
          <w:tcPr>
            <w:tcW w:w="410" w:type="dxa"/>
            <w:tcBorders>
              <w:top w:val="nil"/>
              <w:left w:val="nil"/>
              <w:bottom w:val="single" w:sz="4" w:space="0" w:color="auto"/>
              <w:right w:val="single" w:sz="4" w:space="0" w:color="auto"/>
            </w:tcBorders>
            <w:vAlign w:val="center"/>
          </w:tcPr>
          <w:p w14:paraId="5E6E063D"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3DF2406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24</w:t>
            </w:r>
          </w:p>
        </w:tc>
        <w:tc>
          <w:tcPr>
            <w:tcW w:w="478" w:type="dxa"/>
            <w:tcBorders>
              <w:top w:val="nil"/>
              <w:left w:val="nil"/>
              <w:bottom w:val="single" w:sz="4" w:space="0" w:color="auto"/>
              <w:right w:val="single" w:sz="4" w:space="0" w:color="auto"/>
            </w:tcBorders>
            <w:vAlign w:val="center"/>
          </w:tcPr>
          <w:p w14:paraId="119CAA8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w:t>
            </w:r>
          </w:p>
        </w:tc>
        <w:tc>
          <w:tcPr>
            <w:tcW w:w="477" w:type="dxa"/>
            <w:tcBorders>
              <w:top w:val="nil"/>
              <w:left w:val="nil"/>
              <w:bottom w:val="single" w:sz="4" w:space="0" w:color="auto"/>
              <w:right w:val="single" w:sz="4" w:space="0" w:color="auto"/>
            </w:tcBorders>
            <w:vAlign w:val="center"/>
          </w:tcPr>
          <w:p w14:paraId="42459B2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68</w:t>
            </w:r>
          </w:p>
        </w:tc>
        <w:tc>
          <w:tcPr>
            <w:tcW w:w="411" w:type="dxa"/>
            <w:tcBorders>
              <w:top w:val="nil"/>
              <w:left w:val="nil"/>
              <w:bottom w:val="single" w:sz="4" w:space="0" w:color="auto"/>
              <w:right w:val="single" w:sz="4" w:space="0" w:color="auto"/>
            </w:tcBorders>
            <w:vAlign w:val="center"/>
          </w:tcPr>
          <w:p w14:paraId="035D4EC2"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w:t>
            </w:r>
          </w:p>
        </w:tc>
        <w:tc>
          <w:tcPr>
            <w:tcW w:w="461" w:type="dxa"/>
            <w:tcBorders>
              <w:top w:val="nil"/>
              <w:left w:val="nil"/>
              <w:bottom w:val="single" w:sz="4" w:space="0" w:color="auto"/>
              <w:right w:val="single" w:sz="4" w:space="0" w:color="auto"/>
            </w:tcBorders>
            <w:vAlign w:val="center"/>
          </w:tcPr>
          <w:p w14:paraId="2DA30F11"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16</w:t>
            </w:r>
          </w:p>
        </w:tc>
        <w:tc>
          <w:tcPr>
            <w:tcW w:w="425" w:type="dxa"/>
            <w:tcBorders>
              <w:top w:val="nil"/>
              <w:left w:val="nil"/>
              <w:bottom w:val="single" w:sz="4" w:space="0" w:color="auto"/>
              <w:right w:val="single" w:sz="4" w:space="0" w:color="auto"/>
            </w:tcBorders>
            <w:vAlign w:val="center"/>
          </w:tcPr>
          <w:p w14:paraId="6385C78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w:t>
            </w:r>
          </w:p>
        </w:tc>
      </w:tr>
      <w:tr w:rsidR="00873008" w:rsidRPr="00ED7ABF" w14:paraId="56B1005C" w14:textId="77777777" w:rsidTr="00873008">
        <w:trPr>
          <w:gridAfter w:val="1"/>
          <w:wAfter w:w="19" w:type="dxa"/>
          <w:trHeight w:val="317"/>
        </w:trPr>
        <w:tc>
          <w:tcPr>
            <w:tcW w:w="677" w:type="dxa"/>
            <w:tcBorders>
              <w:top w:val="nil"/>
              <w:left w:val="single" w:sz="4" w:space="0" w:color="auto"/>
              <w:bottom w:val="single" w:sz="4" w:space="0" w:color="auto"/>
              <w:right w:val="single" w:sz="4" w:space="0" w:color="auto"/>
            </w:tcBorders>
            <w:shd w:val="clear" w:color="auto" w:fill="auto"/>
            <w:vAlign w:val="center"/>
          </w:tcPr>
          <w:p w14:paraId="6B09847D"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03.05</w:t>
            </w:r>
          </w:p>
        </w:tc>
        <w:tc>
          <w:tcPr>
            <w:tcW w:w="543" w:type="dxa"/>
            <w:tcBorders>
              <w:top w:val="nil"/>
              <w:left w:val="nil"/>
              <w:bottom w:val="single" w:sz="4" w:space="0" w:color="auto"/>
              <w:right w:val="single" w:sz="4" w:space="0" w:color="auto"/>
            </w:tcBorders>
            <w:shd w:val="clear" w:color="auto" w:fill="auto"/>
            <w:noWrap/>
            <w:vAlign w:val="center"/>
          </w:tcPr>
          <w:p w14:paraId="672C996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331</w:t>
            </w:r>
          </w:p>
        </w:tc>
        <w:tc>
          <w:tcPr>
            <w:tcW w:w="476" w:type="dxa"/>
            <w:tcBorders>
              <w:top w:val="nil"/>
              <w:left w:val="nil"/>
              <w:bottom w:val="single" w:sz="4" w:space="0" w:color="auto"/>
              <w:right w:val="single" w:sz="4" w:space="0" w:color="auto"/>
            </w:tcBorders>
            <w:vAlign w:val="center"/>
          </w:tcPr>
          <w:p w14:paraId="3507121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3" w:type="dxa"/>
            <w:tcBorders>
              <w:top w:val="nil"/>
              <w:left w:val="nil"/>
              <w:bottom w:val="single" w:sz="4" w:space="0" w:color="auto"/>
              <w:right w:val="single" w:sz="4" w:space="0" w:color="auto"/>
            </w:tcBorders>
            <w:vAlign w:val="center"/>
          </w:tcPr>
          <w:p w14:paraId="6B4CC86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105</w:t>
            </w:r>
          </w:p>
        </w:tc>
        <w:tc>
          <w:tcPr>
            <w:tcW w:w="409" w:type="dxa"/>
            <w:tcBorders>
              <w:top w:val="nil"/>
              <w:left w:val="nil"/>
              <w:bottom w:val="single" w:sz="4" w:space="0" w:color="auto"/>
              <w:right w:val="single" w:sz="4" w:space="0" w:color="auto"/>
            </w:tcBorders>
            <w:vAlign w:val="center"/>
          </w:tcPr>
          <w:p w14:paraId="7BAFFF8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29EB23E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166</w:t>
            </w:r>
          </w:p>
        </w:tc>
        <w:tc>
          <w:tcPr>
            <w:tcW w:w="410" w:type="dxa"/>
            <w:tcBorders>
              <w:top w:val="nil"/>
              <w:left w:val="nil"/>
              <w:bottom w:val="single" w:sz="4" w:space="0" w:color="auto"/>
              <w:right w:val="single" w:sz="4" w:space="0" w:color="auto"/>
            </w:tcBorders>
            <w:vAlign w:val="center"/>
          </w:tcPr>
          <w:p w14:paraId="3CCE305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546" w:type="dxa"/>
            <w:tcBorders>
              <w:top w:val="nil"/>
              <w:left w:val="nil"/>
              <w:bottom w:val="single" w:sz="4" w:space="0" w:color="auto"/>
              <w:right w:val="single" w:sz="4" w:space="0" w:color="auto"/>
            </w:tcBorders>
            <w:vAlign w:val="center"/>
          </w:tcPr>
          <w:p w14:paraId="4D221D87"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64</w:t>
            </w:r>
          </w:p>
        </w:tc>
        <w:tc>
          <w:tcPr>
            <w:tcW w:w="464" w:type="dxa"/>
            <w:tcBorders>
              <w:top w:val="nil"/>
              <w:left w:val="nil"/>
              <w:bottom w:val="single" w:sz="4" w:space="0" w:color="auto"/>
              <w:right w:val="single" w:sz="4" w:space="0" w:color="auto"/>
            </w:tcBorders>
            <w:vAlign w:val="center"/>
          </w:tcPr>
          <w:p w14:paraId="30D3914C"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10</w:t>
            </w:r>
          </w:p>
        </w:tc>
        <w:tc>
          <w:tcPr>
            <w:tcW w:w="559" w:type="dxa"/>
            <w:tcBorders>
              <w:top w:val="nil"/>
              <w:left w:val="nil"/>
              <w:bottom w:val="single" w:sz="4" w:space="0" w:color="auto"/>
              <w:right w:val="single" w:sz="4" w:space="0" w:color="auto"/>
            </w:tcBorders>
            <w:vAlign w:val="center"/>
          </w:tcPr>
          <w:p w14:paraId="3F79CE8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16</w:t>
            </w:r>
          </w:p>
        </w:tc>
        <w:tc>
          <w:tcPr>
            <w:tcW w:w="411" w:type="dxa"/>
            <w:tcBorders>
              <w:top w:val="nil"/>
              <w:left w:val="nil"/>
              <w:bottom w:val="single" w:sz="4" w:space="0" w:color="auto"/>
              <w:right w:val="single" w:sz="4" w:space="0" w:color="auto"/>
            </w:tcBorders>
            <w:vAlign w:val="center"/>
          </w:tcPr>
          <w:p w14:paraId="3EF3DFB0"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8</w:t>
            </w:r>
          </w:p>
        </w:tc>
        <w:tc>
          <w:tcPr>
            <w:tcW w:w="477" w:type="dxa"/>
            <w:tcBorders>
              <w:top w:val="nil"/>
              <w:left w:val="nil"/>
              <w:bottom w:val="single" w:sz="4" w:space="0" w:color="auto"/>
              <w:right w:val="single" w:sz="4" w:space="0" w:color="auto"/>
            </w:tcBorders>
            <w:vAlign w:val="center"/>
          </w:tcPr>
          <w:p w14:paraId="2CD93EF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60</w:t>
            </w:r>
          </w:p>
        </w:tc>
        <w:tc>
          <w:tcPr>
            <w:tcW w:w="414" w:type="dxa"/>
            <w:tcBorders>
              <w:top w:val="nil"/>
              <w:left w:val="nil"/>
              <w:bottom w:val="single" w:sz="4" w:space="0" w:color="auto"/>
              <w:right w:val="single" w:sz="4" w:space="0" w:color="auto"/>
            </w:tcBorders>
            <w:vAlign w:val="center"/>
          </w:tcPr>
          <w:p w14:paraId="2550CC37"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80" w:type="dxa"/>
            <w:tcBorders>
              <w:top w:val="nil"/>
              <w:left w:val="nil"/>
              <w:bottom w:val="single" w:sz="4" w:space="0" w:color="auto"/>
              <w:right w:val="single" w:sz="4" w:space="0" w:color="auto"/>
            </w:tcBorders>
            <w:vAlign w:val="center"/>
          </w:tcPr>
          <w:p w14:paraId="27B72EF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34</w:t>
            </w:r>
          </w:p>
        </w:tc>
        <w:tc>
          <w:tcPr>
            <w:tcW w:w="410" w:type="dxa"/>
            <w:tcBorders>
              <w:top w:val="nil"/>
              <w:left w:val="nil"/>
              <w:bottom w:val="single" w:sz="4" w:space="0" w:color="auto"/>
              <w:right w:val="single" w:sz="4" w:space="0" w:color="auto"/>
            </w:tcBorders>
            <w:vAlign w:val="center"/>
          </w:tcPr>
          <w:p w14:paraId="3990F95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1</w:t>
            </w:r>
          </w:p>
        </w:tc>
        <w:tc>
          <w:tcPr>
            <w:tcW w:w="548" w:type="dxa"/>
            <w:tcBorders>
              <w:top w:val="nil"/>
              <w:left w:val="nil"/>
              <w:bottom w:val="single" w:sz="4" w:space="0" w:color="auto"/>
              <w:right w:val="single" w:sz="4" w:space="0" w:color="auto"/>
            </w:tcBorders>
            <w:vAlign w:val="center"/>
          </w:tcPr>
          <w:p w14:paraId="09BB63D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23</w:t>
            </w:r>
          </w:p>
        </w:tc>
        <w:tc>
          <w:tcPr>
            <w:tcW w:w="497" w:type="dxa"/>
            <w:tcBorders>
              <w:top w:val="nil"/>
              <w:left w:val="nil"/>
              <w:bottom w:val="single" w:sz="4" w:space="0" w:color="auto"/>
              <w:right w:val="single" w:sz="4" w:space="0" w:color="auto"/>
            </w:tcBorders>
            <w:vAlign w:val="center"/>
          </w:tcPr>
          <w:p w14:paraId="74F2F185"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20</w:t>
            </w:r>
          </w:p>
        </w:tc>
        <w:tc>
          <w:tcPr>
            <w:tcW w:w="461" w:type="dxa"/>
            <w:tcBorders>
              <w:top w:val="nil"/>
              <w:left w:val="nil"/>
              <w:bottom w:val="single" w:sz="4" w:space="0" w:color="auto"/>
              <w:right w:val="single" w:sz="4" w:space="0" w:color="auto"/>
            </w:tcBorders>
            <w:vAlign w:val="center"/>
          </w:tcPr>
          <w:p w14:paraId="27286C2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33</w:t>
            </w:r>
          </w:p>
        </w:tc>
        <w:tc>
          <w:tcPr>
            <w:tcW w:w="410" w:type="dxa"/>
            <w:tcBorders>
              <w:top w:val="nil"/>
              <w:left w:val="nil"/>
              <w:bottom w:val="single" w:sz="4" w:space="0" w:color="auto"/>
              <w:right w:val="single" w:sz="4" w:space="0" w:color="auto"/>
            </w:tcBorders>
            <w:vAlign w:val="center"/>
          </w:tcPr>
          <w:p w14:paraId="54CA29A6"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8" w:type="dxa"/>
            <w:tcBorders>
              <w:top w:val="nil"/>
              <w:left w:val="nil"/>
              <w:bottom w:val="single" w:sz="4" w:space="0" w:color="auto"/>
              <w:right w:val="single" w:sz="4" w:space="0" w:color="auto"/>
            </w:tcBorders>
            <w:vAlign w:val="center"/>
          </w:tcPr>
          <w:p w14:paraId="6AACAD74"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22</w:t>
            </w:r>
          </w:p>
        </w:tc>
        <w:tc>
          <w:tcPr>
            <w:tcW w:w="478" w:type="dxa"/>
            <w:tcBorders>
              <w:top w:val="nil"/>
              <w:left w:val="nil"/>
              <w:bottom w:val="single" w:sz="4" w:space="0" w:color="auto"/>
              <w:right w:val="single" w:sz="4" w:space="0" w:color="auto"/>
            </w:tcBorders>
            <w:vAlign w:val="center"/>
          </w:tcPr>
          <w:p w14:paraId="7D872769"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77" w:type="dxa"/>
            <w:tcBorders>
              <w:top w:val="nil"/>
              <w:left w:val="nil"/>
              <w:bottom w:val="single" w:sz="4" w:space="0" w:color="auto"/>
              <w:right w:val="single" w:sz="4" w:space="0" w:color="auto"/>
            </w:tcBorders>
            <w:vAlign w:val="center"/>
          </w:tcPr>
          <w:p w14:paraId="44FFD30B"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44</w:t>
            </w:r>
          </w:p>
        </w:tc>
        <w:tc>
          <w:tcPr>
            <w:tcW w:w="411" w:type="dxa"/>
            <w:tcBorders>
              <w:top w:val="nil"/>
              <w:left w:val="nil"/>
              <w:bottom w:val="single" w:sz="4" w:space="0" w:color="auto"/>
              <w:right w:val="single" w:sz="4" w:space="0" w:color="auto"/>
            </w:tcBorders>
            <w:vAlign w:val="center"/>
          </w:tcPr>
          <w:p w14:paraId="2550160E"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61" w:type="dxa"/>
            <w:tcBorders>
              <w:top w:val="nil"/>
              <w:left w:val="nil"/>
              <w:bottom w:val="single" w:sz="4" w:space="0" w:color="auto"/>
              <w:right w:val="single" w:sz="4" w:space="0" w:color="auto"/>
            </w:tcBorders>
            <w:vAlign w:val="center"/>
          </w:tcPr>
          <w:p w14:paraId="0C6ACE6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c>
          <w:tcPr>
            <w:tcW w:w="425" w:type="dxa"/>
            <w:tcBorders>
              <w:top w:val="nil"/>
              <w:left w:val="nil"/>
              <w:bottom w:val="single" w:sz="4" w:space="0" w:color="auto"/>
              <w:right w:val="single" w:sz="4" w:space="0" w:color="auto"/>
            </w:tcBorders>
            <w:vAlign w:val="center"/>
          </w:tcPr>
          <w:p w14:paraId="787C6163" w14:textId="77777777" w:rsidR="00873008" w:rsidRPr="00ED7ABF" w:rsidRDefault="00873008" w:rsidP="00F86501">
            <w:pPr>
              <w:spacing w:after="0" w:line="240" w:lineRule="auto"/>
              <w:jc w:val="center"/>
              <w:rPr>
                <w:rFonts w:ascii="Sylfaen" w:eastAsia="Times New Roman" w:hAnsi="Sylfaen" w:cs="Arial"/>
                <w:color w:val="000000"/>
                <w:sz w:val="18"/>
                <w:lang w:val="ka-GE"/>
              </w:rPr>
            </w:pPr>
            <w:r w:rsidRPr="00ED7ABF">
              <w:rPr>
                <w:rFonts w:ascii="Sylfaen" w:eastAsia="Times New Roman" w:hAnsi="Sylfaen" w:cs="Arial"/>
                <w:color w:val="000000"/>
                <w:sz w:val="18"/>
                <w:lang w:val="ka-GE"/>
              </w:rPr>
              <w:t>0</w:t>
            </w:r>
          </w:p>
        </w:tc>
      </w:tr>
      <w:tr w:rsidR="00873008" w:rsidRPr="00ED7ABF" w14:paraId="2FCCAAE0" w14:textId="77777777" w:rsidTr="00873008">
        <w:trPr>
          <w:gridAfter w:val="1"/>
          <w:wAfter w:w="19" w:type="dxa"/>
          <w:trHeight w:val="124"/>
        </w:trPr>
        <w:tc>
          <w:tcPr>
            <w:tcW w:w="677" w:type="dxa"/>
            <w:tcBorders>
              <w:top w:val="single" w:sz="4" w:space="0" w:color="auto"/>
              <w:left w:val="single" w:sz="4" w:space="0" w:color="auto"/>
              <w:bottom w:val="single" w:sz="4" w:space="0" w:color="auto"/>
              <w:right w:val="single" w:sz="4" w:space="0" w:color="auto"/>
            </w:tcBorders>
            <w:shd w:val="clear" w:color="auto" w:fill="auto"/>
          </w:tcPr>
          <w:p w14:paraId="5F67AAC1"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Sylfaen"/>
                <w:b/>
                <w:color w:val="000000"/>
                <w:sz w:val="18"/>
                <w:lang w:val="ka-GE"/>
              </w:rPr>
              <w:t>სულ</w:t>
            </w:r>
          </w:p>
        </w:tc>
        <w:tc>
          <w:tcPr>
            <w:tcW w:w="543" w:type="dxa"/>
            <w:tcBorders>
              <w:top w:val="single" w:sz="4" w:space="0" w:color="auto"/>
              <w:left w:val="nil"/>
              <w:bottom w:val="single" w:sz="4" w:space="0" w:color="auto"/>
              <w:right w:val="single" w:sz="4" w:space="0" w:color="auto"/>
            </w:tcBorders>
            <w:shd w:val="clear" w:color="auto" w:fill="auto"/>
            <w:noWrap/>
            <w:vAlign w:val="center"/>
          </w:tcPr>
          <w:p w14:paraId="270E8615"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8631</w:t>
            </w:r>
          </w:p>
        </w:tc>
        <w:tc>
          <w:tcPr>
            <w:tcW w:w="476" w:type="dxa"/>
            <w:tcBorders>
              <w:top w:val="single" w:sz="4" w:space="0" w:color="auto"/>
              <w:left w:val="nil"/>
              <w:bottom w:val="single" w:sz="4" w:space="0" w:color="auto"/>
              <w:right w:val="single" w:sz="4" w:space="0" w:color="auto"/>
            </w:tcBorders>
            <w:vAlign w:val="center"/>
          </w:tcPr>
          <w:p w14:paraId="733A908B"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317</w:t>
            </w:r>
          </w:p>
        </w:tc>
        <w:tc>
          <w:tcPr>
            <w:tcW w:w="543" w:type="dxa"/>
            <w:tcBorders>
              <w:top w:val="single" w:sz="4" w:space="0" w:color="auto"/>
              <w:left w:val="nil"/>
              <w:bottom w:val="single" w:sz="4" w:space="0" w:color="auto"/>
              <w:right w:val="single" w:sz="4" w:space="0" w:color="auto"/>
            </w:tcBorders>
            <w:vAlign w:val="center"/>
          </w:tcPr>
          <w:p w14:paraId="28C81830"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2552</w:t>
            </w:r>
          </w:p>
        </w:tc>
        <w:tc>
          <w:tcPr>
            <w:tcW w:w="409" w:type="dxa"/>
            <w:tcBorders>
              <w:top w:val="single" w:sz="4" w:space="0" w:color="auto"/>
              <w:left w:val="nil"/>
              <w:bottom w:val="single" w:sz="4" w:space="0" w:color="auto"/>
              <w:right w:val="single" w:sz="4" w:space="0" w:color="auto"/>
            </w:tcBorders>
            <w:vAlign w:val="center"/>
          </w:tcPr>
          <w:p w14:paraId="1F54AE4D"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46</w:t>
            </w:r>
          </w:p>
        </w:tc>
        <w:tc>
          <w:tcPr>
            <w:tcW w:w="546" w:type="dxa"/>
            <w:tcBorders>
              <w:top w:val="single" w:sz="4" w:space="0" w:color="auto"/>
              <w:left w:val="nil"/>
              <w:bottom w:val="single" w:sz="4" w:space="0" w:color="auto"/>
              <w:right w:val="single" w:sz="4" w:space="0" w:color="auto"/>
            </w:tcBorders>
            <w:vAlign w:val="center"/>
          </w:tcPr>
          <w:p w14:paraId="0EAF70AE"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4726</w:t>
            </w:r>
          </w:p>
        </w:tc>
        <w:tc>
          <w:tcPr>
            <w:tcW w:w="410" w:type="dxa"/>
            <w:tcBorders>
              <w:top w:val="single" w:sz="4" w:space="0" w:color="auto"/>
              <w:left w:val="nil"/>
              <w:bottom w:val="single" w:sz="4" w:space="0" w:color="auto"/>
              <w:right w:val="single" w:sz="4" w:space="0" w:color="auto"/>
            </w:tcBorders>
            <w:vAlign w:val="center"/>
          </w:tcPr>
          <w:p w14:paraId="7B82793B"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53</w:t>
            </w:r>
          </w:p>
        </w:tc>
        <w:tc>
          <w:tcPr>
            <w:tcW w:w="546" w:type="dxa"/>
            <w:tcBorders>
              <w:top w:val="single" w:sz="4" w:space="0" w:color="auto"/>
              <w:left w:val="nil"/>
              <w:bottom w:val="single" w:sz="4" w:space="0" w:color="auto"/>
              <w:right w:val="single" w:sz="4" w:space="0" w:color="auto"/>
            </w:tcBorders>
            <w:vAlign w:val="center"/>
          </w:tcPr>
          <w:p w14:paraId="5771CB36"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1258</w:t>
            </w:r>
          </w:p>
        </w:tc>
        <w:tc>
          <w:tcPr>
            <w:tcW w:w="464" w:type="dxa"/>
            <w:tcBorders>
              <w:top w:val="single" w:sz="4" w:space="0" w:color="auto"/>
              <w:left w:val="nil"/>
              <w:bottom w:val="single" w:sz="4" w:space="0" w:color="auto"/>
              <w:right w:val="single" w:sz="4" w:space="0" w:color="auto"/>
            </w:tcBorders>
            <w:vAlign w:val="center"/>
          </w:tcPr>
          <w:p w14:paraId="438DBD58"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364</w:t>
            </w:r>
          </w:p>
        </w:tc>
        <w:tc>
          <w:tcPr>
            <w:tcW w:w="559" w:type="dxa"/>
            <w:tcBorders>
              <w:top w:val="single" w:sz="4" w:space="0" w:color="auto"/>
              <w:left w:val="nil"/>
              <w:bottom w:val="single" w:sz="4" w:space="0" w:color="auto"/>
              <w:right w:val="single" w:sz="4" w:space="0" w:color="auto"/>
            </w:tcBorders>
            <w:vAlign w:val="center"/>
          </w:tcPr>
          <w:p w14:paraId="2FA5B3EF"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934</w:t>
            </w:r>
          </w:p>
        </w:tc>
        <w:tc>
          <w:tcPr>
            <w:tcW w:w="411" w:type="dxa"/>
            <w:tcBorders>
              <w:top w:val="single" w:sz="4" w:space="0" w:color="auto"/>
              <w:left w:val="nil"/>
              <w:bottom w:val="single" w:sz="4" w:space="0" w:color="auto"/>
              <w:right w:val="single" w:sz="4" w:space="0" w:color="auto"/>
            </w:tcBorders>
            <w:vAlign w:val="center"/>
          </w:tcPr>
          <w:p w14:paraId="02F49EEF"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66</w:t>
            </w:r>
          </w:p>
        </w:tc>
        <w:tc>
          <w:tcPr>
            <w:tcW w:w="477" w:type="dxa"/>
            <w:tcBorders>
              <w:top w:val="single" w:sz="4" w:space="0" w:color="auto"/>
              <w:left w:val="nil"/>
              <w:bottom w:val="single" w:sz="4" w:space="0" w:color="auto"/>
              <w:right w:val="single" w:sz="4" w:space="0" w:color="auto"/>
            </w:tcBorders>
            <w:vAlign w:val="center"/>
          </w:tcPr>
          <w:p w14:paraId="7D81F8C2"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458</w:t>
            </w:r>
          </w:p>
        </w:tc>
        <w:tc>
          <w:tcPr>
            <w:tcW w:w="414" w:type="dxa"/>
            <w:tcBorders>
              <w:top w:val="single" w:sz="4" w:space="0" w:color="auto"/>
              <w:left w:val="nil"/>
              <w:bottom w:val="single" w:sz="4" w:space="0" w:color="auto"/>
              <w:right w:val="single" w:sz="4" w:space="0" w:color="auto"/>
            </w:tcBorders>
            <w:vAlign w:val="center"/>
          </w:tcPr>
          <w:p w14:paraId="7E3124AF"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0</w:t>
            </w:r>
          </w:p>
        </w:tc>
        <w:tc>
          <w:tcPr>
            <w:tcW w:w="480" w:type="dxa"/>
            <w:tcBorders>
              <w:top w:val="single" w:sz="4" w:space="0" w:color="auto"/>
              <w:left w:val="nil"/>
              <w:bottom w:val="single" w:sz="4" w:space="0" w:color="auto"/>
              <w:right w:val="single" w:sz="4" w:space="0" w:color="auto"/>
            </w:tcBorders>
            <w:vAlign w:val="center"/>
          </w:tcPr>
          <w:p w14:paraId="3E59483B"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410</w:t>
            </w:r>
          </w:p>
        </w:tc>
        <w:tc>
          <w:tcPr>
            <w:tcW w:w="410" w:type="dxa"/>
            <w:tcBorders>
              <w:top w:val="single" w:sz="4" w:space="0" w:color="auto"/>
              <w:left w:val="nil"/>
              <w:bottom w:val="single" w:sz="4" w:space="0" w:color="auto"/>
              <w:right w:val="single" w:sz="4" w:space="0" w:color="auto"/>
            </w:tcBorders>
            <w:vAlign w:val="center"/>
          </w:tcPr>
          <w:p w14:paraId="0234E69D"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14</w:t>
            </w:r>
          </w:p>
        </w:tc>
        <w:tc>
          <w:tcPr>
            <w:tcW w:w="548" w:type="dxa"/>
            <w:tcBorders>
              <w:top w:val="single" w:sz="4" w:space="0" w:color="auto"/>
              <w:left w:val="nil"/>
              <w:bottom w:val="single" w:sz="4" w:space="0" w:color="auto"/>
              <w:right w:val="single" w:sz="4" w:space="0" w:color="auto"/>
            </w:tcBorders>
            <w:vAlign w:val="center"/>
          </w:tcPr>
          <w:p w14:paraId="427FCD15"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337</w:t>
            </w:r>
          </w:p>
        </w:tc>
        <w:tc>
          <w:tcPr>
            <w:tcW w:w="497" w:type="dxa"/>
            <w:tcBorders>
              <w:top w:val="single" w:sz="4" w:space="0" w:color="auto"/>
              <w:left w:val="nil"/>
              <w:bottom w:val="single" w:sz="4" w:space="0" w:color="auto"/>
              <w:right w:val="single" w:sz="4" w:space="0" w:color="auto"/>
            </w:tcBorders>
            <w:vAlign w:val="center"/>
          </w:tcPr>
          <w:p w14:paraId="3BEB7360"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161</w:t>
            </w:r>
          </w:p>
        </w:tc>
        <w:tc>
          <w:tcPr>
            <w:tcW w:w="461" w:type="dxa"/>
            <w:tcBorders>
              <w:top w:val="single" w:sz="4" w:space="0" w:color="auto"/>
              <w:left w:val="nil"/>
              <w:bottom w:val="single" w:sz="4" w:space="0" w:color="auto"/>
              <w:right w:val="single" w:sz="4" w:space="0" w:color="auto"/>
            </w:tcBorders>
            <w:vAlign w:val="center"/>
          </w:tcPr>
          <w:p w14:paraId="52B60510"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270</w:t>
            </w:r>
          </w:p>
        </w:tc>
        <w:tc>
          <w:tcPr>
            <w:tcW w:w="410" w:type="dxa"/>
            <w:tcBorders>
              <w:top w:val="single" w:sz="4" w:space="0" w:color="auto"/>
              <w:left w:val="nil"/>
              <w:bottom w:val="single" w:sz="4" w:space="0" w:color="auto"/>
              <w:right w:val="single" w:sz="4" w:space="0" w:color="auto"/>
            </w:tcBorders>
            <w:vAlign w:val="center"/>
          </w:tcPr>
          <w:p w14:paraId="2BED12D3"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w:t>
            </w:r>
          </w:p>
        </w:tc>
        <w:tc>
          <w:tcPr>
            <w:tcW w:w="478" w:type="dxa"/>
            <w:tcBorders>
              <w:top w:val="single" w:sz="4" w:space="0" w:color="auto"/>
              <w:left w:val="nil"/>
              <w:bottom w:val="single" w:sz="4" w:space="0" w:color="auto"/>
              <w:right w:val="single" w:sz="4" w:space="0" w:color="auto"/>
            </w:tcBorders>
            <w:vAlign w:val="center"/>
          </w:tcPr>
          <w:p w14:paraId="40F80497"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397</w:t>
            </w:r>
          </w:p>
        </w:tc>
        <w:tc>
          <w:tcPr>
            <w:tcW w:w="478" w:type="dxa"/>
            <w:tcBorders>
              <w:top w:val="single" w:sz="4" w:space="0" w:color="auto"/>
              <w:left w:val="nil"/>
              <w:bottom w:val="single" w:sz="4" w:space="0" w:color="auto"/>
              <w:right w:val="single" w:sz="4" w:space="0" w:color="auto"/>
            </w:tcBorders>
            <w:vAlign w:val="center"/>
          </w:tcPr>
          <w:p w14:paraId="05D4E9D4"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11</w:t>
            </w:r>
          </w:p>
        </w:tc>
        <w:tc>
          <w:tcPr>
            <w:tcW w:w="477" w:type="dxa"/>
            <w:tcBorders>
              <w:top w:val="single" w:sz="4" w:space="0" w:color="auto"/>
              <w:left w:val="nil"/>
              <w:bottom w:val="single" w:sz="4" w:space="0" w:color="auto"/>
              <w:right w:val="single" w:sz="4" w:space="0" w:color="auto"/>
            </w:tcBorders>
            <w:vAlign w:val="center"/>
          </w:tcPr>
          <w:p w14:paraId="541B1CBE"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278</w:t>
            </w:r>
          </w:p>
        </w:tc>
        <w:tc>
          <w:tcPr>
            <w:tcW w:w="411" w:type="dxa"/>
            <w:tcBorders>
              <w:top w:val="single" w:sz="4" w:space="0" w:color="auto"/>
              <w:left w:val="nil"/>
              <w:bottom w:val="single" w:sz="4" w:space="0" w:color="auto"/>
              <w:right w:val="single" w:sz="4" w:space="0" w:color="auto"/>
            </w:tcBorders>
            <w:vAlign w:val="center"/>
          </w:tcPr>
          <w:p w14:paraId="2F2A7DBD"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11</w:t>
            </w:r>
          </w:p>
        </w:tc>
        <w:tc>
          <w:tcPr>
            <w:tcW w:w="461" w:type="dxa"/>
            <w:tcBorders>
              <w:top w:val="single" w:sz="4" w:space="0" w:color="auto"/>
              <w:left w:val="nil"/>
              <w:bottom w:val="single" w:sz="4" w:space="0" w:color="auto"/>
              <w:right w:val="single" w:sz="4" w:space="0" w:color="auto"/>
            </w:tcBorders>
            <w:vAlign w:val="center"/>
          </w:tcPr>
          <w:p w14:paraId="0C2697E6"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70</w:t>
            </w:r>
          </w:p>
        </w:tc>
        <w:tc>
          <w:tcPr>
            <w:tcW w:w="425" w:type="dxa"/>
            <w:tcBorders>
              <w:top w:val="single" w:sz="4" w:space="0" w:color="auto"/>
              <w:left w:val="nil"/>
              <w:bottom w:val="single" w:sz="4" w:space="0" w:color="auto"/>
              <w:right w:val="single" w:sz="4" w:space="0" w:color="auto"/>
            </w:tcBorders>
            <w:vAlign w:val="center"/>
          </w:tcPr>
          <w:p w14:paraId="3F9E1D09" w14:textId="77777777" w:rsidR="00873008" w:rsidRPr="00ED7ABF" w:rsidRDefault="00873008" w:rsidP="00F86501">
            <w:pPr>
              <w:spacing w:after="0" w:line="240" w:lineRule="auto"/>
              <w:jc w:val="center"/>
              <w:rPr>
                <w:rFonts w:ascii="Sylfaen" w:eastAsia="Times New Roman" w:hAnsi="Sylfaen" w:cs="Arial"/>
                <w:b/>
                <w:color w:val="000000"/>
                <w:sz w:val="18"/>
                <w:lang w:val="ka-GE"/>
              </w:rPr>
            </w:pPr>
            <w:r w:rsidRPr="00ED7ABF">
              <w:rPr>
                <w:rFonts w:ascii="Sylfaen" w:eastAsia="Times New Roman" w:hAnsi="Sylfaen" w:cs="Arial"/>
                <w:b/>
                <w:color w:val="000000"/>
                <w:sz w:val="18"/>
                <w:lang w:val="ka-GE"/>
              </w:rPr>
              <w:t>14</w:t>
            </w:r>
          </w:p>
        </w:tc>
      </w:tr>
    </w:tbl>
    <w:p w14:paraId="5837E26F" w14:textId="3DE98F94" w:rsidR="00E440C4" w:rsidRDefault="00E440C4" w:rsidP="002E2DC1">
      <w:pPr>
        <w:tabs>
          <w:tab w:val="left" w:pos="3150"/>
        </w:tabs>
        <w:ind w:right="-180" w:hanging="540"/>
        <w:jc w:val="both"/>
        <w:rPr>
          <w:rFonts w:ascii="Sylfaen" w:hAnsi="Sylfaen"/>
          <w:bCs/>
          <w:sz w:val="24"/>
          <w:lang w:val="ka-GE"/>
        </w:rPr>
      </w:pPr>
    </w:p>
    <w:p w14:paraId="2626E041" w14:textId="7B8F44DD" w:rsidR="00C73095" w:rsidRDefault="00873008" w:rsidP="00D96E4A">
      <w:pPr>
        <w:jc w:val="both"/>
        <w:rPr>
          <w:rFonts w:ascii="Sylfaen" w:hAnsi="Sylfaen"/>
          <w:sz w:val="24"/>
        </w:rPr>
      </w:pPr>
      <w:r>
        <w:rPr>
          <w:noProof/>
        </w:rPr>
        <w:drawing>
          <wp:inline distT="0" distB="0" distL="0" distR="0" wp14:anchorId="4251C381" wp14:editId="37F74A78">
            <wp:extent cx="7086600" cy="3172313"/>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9020E8" w14:textId="68953D80" w:rsidR="005C4D74" w:rsidRDefault="005C4D74" w:rsidP="00D96E4A">
      <w:pPr>
        <w:jc w:val="both"/>
        <w:rPr>
          <w:rFonts w:ascii="Sylfaen" w:hAnsi="Sylfaen"/>
          <w:sz w:val="24"/>
        </w:rPr>
      </w:pPr>
    </w:p>
    <w:p w14:paraId="604B1881" w14:textId="50B83060" w:rsidR="005C4D74" w:rsidRDefault="00873008" w:rsidP="00D96E4A">
      <w:pPr>
        <w:jc w:val="both"/>
        <w:rPr>
          <w:rFonts w:ascii="Sylfaen" w:hAnsi="Sylfaen"/>
          <w:sz w:val="24"/>
        </w:rPr>
      </w:pPr>
      <w:r>
        <w:rPr>
          <w:rFonts w:ascii="Sylfaen" w:hAnsi="Sylfaen"/>
          <w:noProof/>
          <w:sz w:val="24"/>
        </w:rPr>
        <w:lastRenderedPageBreak/>
        <w:drawing>
          <wp:inline distT="0" distB="0" distL="0" distR="0" wp14:anchorId="31E61829" wp14:editId="70A17084">
            <wp:extent cx="7122896" cy="25527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0903" cy="2562737"/>
                    </a:xfrm>
                    <a:prstGeom prst="rect">
                      <a:avLst/>
                    </a:prstGeom>
                    <a:noFill/>
                  </pic:spPr>
                </pic:pic>
              </a:graphicData>
            </a:graphic>
          </wp:inline>
        </w:drawing>
      </w:r>
    </w:p>
    <w:p w14:paraId="3BF7FDDB" w14:textId="40653C6E" w:rsidR="005C4D74" w:rsidRDefault="005C4D74" w:rsidP="00D96E4A">
      <w:pPr>
        <w:jc w:val="both"/>
        <w:rPr>
          <w:rFonts w:ascii="Sylfaen" w:hAnsi="Sylfaen"/>
          <w:sz w:val="24"/>
        </w:rPr>
      </w:pPr>
    </w:p>
    <w:p w14:paraId="569D2BAA" w14:textId="7AA5F925" w:rsidR="00390163" w:rsidRDefault="00390163" w:rsidP="00D96E4A">
      <w:pPr>
        <w:jc w:val="both"/>
        <w:rPr>
          <w:rFonts w:ascii="Sylfaen" w:hAnsi="Sylfaen"/>
          <w:sz w:val="24"/>
        </w:rPr>
      </w:pPr>
    </w:p>
    <w:p w14:paraId="09416175" w14:textId="77777777" w:rsidR="00390163" w:rsidRDefault="00390163" w:rsidP="00D96E4A">
      <w:pPr>
        <w:jc w:val="both"/>
        <w:rPr>
          <w:rFonts w:ascii="Sylfaen" w:hAnsi="Sylfaen"/>
          <w:sz w:val="24"/>
        </w:rPr>
      </w:pPr>
    </w:p>
    <w:p w14:paraId="6DFA94A6" w14:textId="4D421058" w:rsidR="00070099" w:rsidRPr="00DA7131" w:rsidRDefault="00A7623C" w:rsidP="00D96E4A">
      <w:pPr>
        <w:jc w:val="both"/>
        <w:rPr>
          <w:rFonts w:ascii="Sylfaen" w:hAnsi="Sylfaen"/>
          <w:sz w:val="24"/>
          <w:lang w:val="ka-GE"/>
        </w:rPr>
      </w:pPr>
      <w:r>
        <w:rPr>
          <w:rFonts w:ascii="Sylfaen" w:hAnsi="Sylfaen"/>
          <w:sz w:val="24"/>
          <w:lang w:val="ka-GE"/>
        </w:rPr>
        <w:t>4</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 xml:space="preserve">ქვეყანაში:  </w:t>
      </w:r>
    </w:p>
    <w:p w14:paraId="412585C9" w14:textId="5ADC1064" w:rsidR="00233A0F" w:rsidRPr="008E0F76" w:rsidRDefault="00873008" w:rsidP="00070099">
      <w:pPr>
        <w:jc w:val="both"/>
        <w:rPr>
          <w:rFonts w:ascii="Sylfaen" w:hAnsi="Sylfaen"/>
          <w:b/>
          <w:bCs/>
          <w:sz w:val="24"/>
          <w:u w:val="single"/>
        </w:rPr>
      </w:pPr>
      <w:r w:rsidRPr="00873008">
        <w:rPr>
          <w:rFonts w:ascii="Sylfaen" w:hAnsi="Sylfaen"/>
          <w:b/>
          <w:bCs/>
          <w:sz w:val="24"/>
          <w:u w:val="single"/>
        </w:rPr>
        <w:t>3,566,542</w:t>
      </w:r>
      <w:r>
        <w:rPr>
          <w:rFonts w:ascii="Sylfaen" w:hAnsi="Sylfaen"/>
          <w:b/>
          <w:bCs/>
          <w:sz w:val="24"/>
          <w:u w:val="single"/>
        </w:rPr>
        <w:t xml:space="preserve"> </w:t>
      </w:r>
      <w:proofErr w:type="spellStart"/>
      <w:r w:rsidR="001E3E2B">
        <w:rPr>
          <w:rFonts w:ascii="Sylfaen" w:hAnsi="Sylfaen"/>
          <w:b/>
          <w:sz w:val="24"/>
          <w:u w:val="single"/>
        </w:rPr>
        <w:t>აქედან</w:t>
      </w:r>
      <w:proofErr w:type="spellEnd"/>
      <w:r w:rsidR="00070099" w:rsidRPr="00DA7131">
        <w:rPr>
          <w:rFonts w:ascii="Sylfaen" w:hAnsi="Sylfaen"/>
          <w:sz w:val="24"/>
          <w:lang w:val="ka-GE"/>
        </w:rPr>
        <w:t xml:space="preserve"> გამოჯანმრთელდა </w:t>
      </w:r>
      <w:r w:rsidRPr="00873008">
        <w:rPr>
          <w:rFonts w:ascii="Sylfaen" w:hAnsi="Sylfaen"/>
          <w:b/>
          <w:bCs/>
          <w:sz w:val="24"/>
          <w:u w:val="single"/>
        </w:rPr>
        <w:t>1,154,550</w:t>
      </w:r>
      <w:r>
        <w:rPr>
          <w:rFonts w:ascii="Sylfaen" w:hAnsi="Sylfaen"/>
          <w:b/>
          <w:bCs/>
          <w:sz w:val="24"/>
          <w:u w:val="single"/>
        </w:rPr>
        <w:t xml:space="preserve"> </w:t>
      </w:r>
      <w:proofErr w:type="spellStart"/>
      <w:r w:rsidR="004C3FB7">
        <w:rPr>
          <w:rFonts w:ascii="Sylfaen" w:hAnsi="Sylfaen"/>
          <w:b/>
          <w:sz w:val="24"/>
          <w:u w:val="single"/>
        </w:rPr>
        <w:t>და</w:t>
      </w:r>
      <w:proofErr w:type="spellEnd"/>
      <w:r w:rsidR="00070099" w:rsidRPr="00DA7131">
        <w:rPr>
          <w:rFonts w:ascii="Sylfaen" w:hAnsi="Sylfaen"/>
          <w:sz w:val="24"/>
          <w:lang w:val="ka-GE"/>
        </w:rPr>
        <w:t xml:space="preserve"> დაფიქსირდა სიკვდილის </w:t>
      </w:r>
      <w:r w:rsidRPr="00873008">
        <w:rPr>
          <w:rFonts w:ascii="Sylfaen" w:hAnsi="Sylfaen"/>
          <w:b/>
          <w:bCs/>
          <w:sz w:val="24"/>
          <w:u w:val="single"/>
        </w:rPr>
        <w:t>248,302</w:t>
      </w:r>
      <w:r>
        <w:rPr>
          <w:rFonts w:ascii="Sylfaen" w:hAnsi="Sylfaen"/>
          <w:b/>
          <w:bCs/>
          <w:sz w:val="24"/>
          <w:u w:val="single"/>
        </w:rPr>
        <w:t xml:space="preserve"> </w:t>
      </w:r>
      <w:proofErr w:type="spellStart"/>
      <w:r w:rsidR="00707E2D">
        <w:rPr>
          <w:rFonts w:ascii="Sylfaen" w:hAnsi="Sylfaen"/>
          <w:b/>
          <w:bCs/>
          <w:sz w:val="24"/>
          <w:u w:val="single"/>
        </w:rPr>
        <w:t>შემთხვევა</w:t>
      </w:r>
      <w:proofErr w:type="spellEnd"/>
      <w:r w:rsidR="00070099" w:rsidRPr="00DA7131">
        <w:rPr>
          <w:rFonts w:ascii="Sylfaen" w:hAnsi="Sylfaen"/>
          <w:sz w:val="24"/>
          <w:lang w:val="ka-GE"/>
        </w:rPr>
        <w:t>.</w:t>
      </w:r>
    </w:p>
    <w:p w14:paraId="19AE8F4A" w14:textId="77777777" w:rsidR="005E373D" w:rsidRDefault="005E373D" w:rsidP="00D659B9">
      <w:pPr>
        <w:spacing w:after="0"/>
        <w:jc w:val="both"/>
        <w:rPr>
          <w:rFonts w:ascii="Sylfaen" w:hAnsi="Sylfaen"/>
          <w:sz w:val="24"/>
          <w:lang w:val="ka-GE"/>
        </w:rPr>
      </w:pPr>
    </w:p>
    <w:p w14:paraId="16965AAB" w14:textId="77777777" w:rsidR="001B64F4" w:rsidRDefault="001B64F4" w:rsidP="00F60313">
      <w:pPr>
        <w:spacing w:after="0"/>
        <w:jc w:val="both"/>
        <w:rPr>
          <w:rFonts w:ascii="Sylfaen" w:hAnsi="Sylfaen"/>
          <w:sz w:val="24"/>
          <w:lang w:val="ka-GE"/>
        </w:rPr>
      </w:pPr>
    </w:p>
    <w:p w14:paraId="2BDC46BE" w14:textId="77777777" w:rsidR="00CF17F1" w:rsidRPr="00707E2D" w:rsidRDefault="00CF17F1" w:rsidP="00F60313">
      <w:pPr>
        <w:spacing w:after="0"/>
        <w:jc w:val="both"/>
        <w:rPr>
          <w:rFonts w:ascii="Sylfaen" w:hAnsi="Sylfaen"/>
          <w:sz w:val="24"/>
        </w:rPr>
      </w:pPr>
    </w:p>
    <w:tbl>
      <w:tblPr>
        <w:tblW w:w="10878" w:type="dxa"/>
        <w:tblLook w:val="04A0" w:firstRow="1" w:lastRow="0" w:firstColumn="1" w:lastColumn="0" w:noHBand="0" w:noVBand="1"/>
      </w:tblPr>
      <w:tblGrid>
        <w:gridCol w:w="3708"/>
        <w:gridCol w:w="2858"/>
        <w:gridCol w:w="2142"/>
        <w:gridCol w:w="2170"/>
      </w:tblGrid>
      <w:tr w:rsidR="00A7623C" w:rsidRPr="00A7623C" w14:paraId="3482F606" w14:textId="77777777" w:rsidTr="00A7623C">
        <w:trPr>
          <w:trHeight w:val="966"/>
        </w:trPr>
        <w:tc>
          <w:tcPr>
            <w:tcW w:w="370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605BD57F"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ქვეყანა</w:t>
            </w:r>
          </w:p>
        </w:tc>
        <w:tc>
          <w:tcPr>
            <w:tcW w:w="285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E1A4154"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სულ</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დადასტურებული</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შემთხვევები</w:t>
            </w:r>
          </w:p>
        </w:tc>
        <w:tc>
          <w:tcPr>
            <w:tcW w:w="214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0490557"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სულ</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სიკვდილის</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შემთხვევები</w:t>
            </w:r>
          </w:p>
        </w:tc>
        <w:tc>
          <w:tcPr>
            <w:tcW w:w="217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C5E9B91"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ლეტალობის</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მაჩვენებელი</w:t>
            </w:r>
          </w:p>
        </w:tc>
      </w:tr>
      <w:tr w:rsidR="00A7623C" w:rsidRPr="00A7623C" w14:paraId="1C02F3F9"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vAlign w:val="bottom"/>
            <w:hideMark/>
          </w:tcPr>
          <w:p w14:paraId="1F2510AF"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საქართველო</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FDCE82"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593</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2E82F44"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9</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69F5A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1.52</w:t>
            </w:r>
          </w:p>
        </w:tc>
      </w:tr>
      <w:tr w:rsidR="00A7623C" w:rsidRPr="00A7623C" w14:paraId="572ACEEE"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6672E"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ამერიკა</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133BD"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1188122</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AC64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68598</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686B6"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5.77</w:t>
            </w:r>
          </w:p>
        </w:tc>
      </w:tr>
      <w:tr w:rsidR="00A7623C" w:rsidRPr="00A7623C" w14:paraId="5DF6D279"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515FFF"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ესპანეთი</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DC83D0"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247122</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B9BC0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25264</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6EF698"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10.22</w:t>
            </w:r>
          </w:p>
        </w:tc>
      </w:tr>
      <w:tr w:rsidR="00A7623C" w:rsidRPr="00A7623C" w14:paraId="23D99890"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56111"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იტალია</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9C5B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210717</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863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28884</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026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13.71</w:t>
            </w:r>
          </w:p>
        </w:tc>
      </w:tr>
      <w:tr w:rsidR="00A7623C" w:rsidRPr="00A7623C" w14:paraId="56E3B039"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DBE84CE"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გაერთიანებული</w:t>
            </w:r>
            <w:r w:rsidRPr="00A7623C">
              <w:rPr>
                <w:rFonts w:ascii="Calibri" w:eastAsia="Times New Roman" w:hAnsi="Calibri" w:cs="Calibri"/>
                <w:color w:val="000000"/>
                <w:lang w:val="ka-GE"/>
              </w:rPr>
              <w:t xml:space="preserve"> </w:t>
            </w:r>
            <w:r w:rsidRPr="00A7623C">
              <w:rPr>
                <w:rFonts w:ascii="Sylfaen" w:eastAsia="Times New Roman" w:hAnsi="Sylfaen" w:cs="Sylfaen"/>
                <w:color w:val="000000"/>
                <w:lang w:val="ka-GE"/>
              </w:rPr>
              <w:t>სამეფო</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0F9D164"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186599</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E2BB39"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28446</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356800"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15.24</w:t>
            </w:r>
          </w:p>
        </w:tc>
      </w:tr>
      <w:tr w:rsidR="00A7623C" w:rsidRPr="00A7623C" w14:paraId="3FF4863C"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C6E05"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საფრანგეთი</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5A48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168693</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6EDC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24895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8704"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14.76</w:t>
            </w:r>
          </w:p>
        </w:tc>
      </w:tr>
      <w:tr w:rsidR="00A7623C" w:rsidRPr="00A7623C" w14:paraId="02667FE5"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CE8749"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გერმანია</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28CD0A"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165664</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4EEA74"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6866</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85143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4.14</w:t>
            </w:r>
          </w:p>
        </w:tc>
      </w:tr>
      <w:tr w:rsidR="00A7623C" w:rsidRPr="00A7623C" w14:paraId="62264A73"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52F50"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რუსეთი</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4CF9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134687</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D38FC"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1280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006E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0.95</w:t>
            </w:r>
          </w:p>
        </w:tc>
      </w:tr>
      <w:tr w:rsidR="00A7623C" w:rsidRPr="00A7623C" w14:paraId="58189FB9"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02F8E3"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თურქეთი</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1317D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126045</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287A62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3397</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FDB51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2.70</w:t>
            </w:r>
          </w:p>
        </w:tc>
      </w:tr>
      <w:tr w:rsidR="00A7623C" w:rsidRPr="00A7623C" w14:paraId="4CA0EDDB"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465C8"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ბრაზილია</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180D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101826</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9D557"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7051</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A147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6.92</w:t>
            </w:r>
          </w:p>
        </w:tc>
      </w:tr>
      <w:tr w:rsidR="00A7623C" w:rsidRPr="00A7623C" w14:paraId="1D29F487"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D1BA5B"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ირანი</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E7200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97424</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C5A19D"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6203</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D5C66C"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6.37</w:t>
            </w:r>
          </w:p>
        </w:tc>
      </w:tr>
      <w:tr w:rsidR="00A7623C" w:rsidRPr="00A7623C" w14:paraId="41432CAB"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A9F8"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ჩინეთი</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38182"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82880</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4027"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4633</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5EF89"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5.59</w:t>
            </w:r>
          </w:p>
        </w:tc>
      </w:tr>
      <w:tr w:rsidR="00A7623C" w:rsidRPr="00A7623C" w14:paraId="06E6856C"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15640D"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კანადა</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AC2EF2"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59474</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91ED27"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3682</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543D8F2"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6.19</w:t>
            </w:r>
          </w:p>
        </w:tc>
      </w:tr>
      <w:tr w:rsidR="00A7623C" w:rsidRPr="00A7623C" w14:paraId="39E75B14"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3AFA"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ბელგია</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8723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49906</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A42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7844</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DD1D3"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15.72</w:t>
            </w:r>
          </w:p>
        </w:tc>
      </w:tr>
      <w:tr w:rsidR="00A7623C" w:rsidRPr="00A7623C" w14:paraId="6DCAD24F"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B9DD66B"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პერუ</w:t>
            </w:r>
          </w:p>
        </w:tc>
        <w:tc>
          <w:tcPr>
            <w:tcW w:w="28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137C400"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45928</w:t>
            </w:r>
          </w:p>
        </w:tc>
        <w:tc>
          <w:tcPr>
            <w:tcW w:w="21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3671B08"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1286</w:t>
            </w:r>
          </w:p>
        </w:tc>
        <w:tc>
          <w:tcPr>
            <w:tcW w:w="21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84AC18"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2.80</w:t>
            </w:r>
          </w:p>
        </w:tc>
      </w:tr>
      <w:tr w:rsidR="00A7623C" w:rsidRPr="00A7623C" w14:paraId="62519BF0" w14:textId="77777777" w:rsidTr="00A7623C">
        <w:trPr>
          <w:trHeight w:val="322"/>
        </w:trPr>
        <w:tc>
          <w:tcPr>
            <w:tcW w:w="3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30661"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ინდოეთი</w:t>
            </w:r>
          </w:p>
        </w:tc>
        <w:tc>
          <w:tcPr>
            <w:tcW w:w="2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7D72"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42533</w:t>
            </w:r>
          </w:p>
        </w:tc>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15FD1"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1391</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DA3A"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3.27</w:t>
            </w:r>
          </w:p>
        </w:tc>
      </w:tr>
    </w:tbl>
    <w:p w14:paraId="3C92B45A" w14:textId="77777777" w:rsidR="00CF17F1" w:rsidRDefault="00CF17F1" w:rsidP="00F60313">
      <w:pPr>
        <w:spacing w:after="0"/>
        <w:jc w:val="both"/>
        <w:rPr>
          <w:rFonts w:ascii="Sylfaen" w:hAnsi="Sylfaen"/>
          <w:sz w:val="24"/>
          <w:lang w:val="ka-GE"/>
        </w:rPr>
      </w:pPr>
    </w:p>
    <w:p w14:paraId="11AF89A3" w14:textId="77777777" w:rsidR="00E440C4" w:rsidRPr="009709DB" w:rsidRDefault="00E440C4" w:rsidP="00F60313">
      <w:pPr>
        <w:spacing w:after="0"/>
        <w:jc w:val="both"/>
        <w:rPr>
          <w:rFonts w:ascii="Sylfaen" w:hAnsi="Sylfaen"/>
          <w:sz w:val="24"/>
        </w:rPr>
      </w:pPr>
    </w:p>
    <w:tbl>
      <w:tblPr>
        <w:tblW w:w="10969" w:type="dxa"/>
        <w:tblLook w:val="04A0" w:firstRow="1" w:lastRow="0" w:firstColumn="1" w:lastColumn="0" w:noHBand="0" w:noVBand="1"/>
      </w:tblPr>
      <w:tblGrid>
        <w:gridCol w:w="2594"/>
        <w:gridCol w:w="3391"/>
        <w:gridCol w:w="2448"/>
        <w:gridCol w:w="2536"/>
      </w:tblGrid>
      <w:tr w:rsidR="00A7623C" w:rsidRPr="00A7623C" w14:paraId="2E498914" w14:textId="77777777" w:rsidTr="00873008">
        <w:trPr>
          <w:trHeight w:val="1174"/>
        </w:trPr>
        <w:tc>
          <w:tcPr>
            <w:tcW w:w="2594"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1F03415F"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ქვეყანა</w:t>
            </w:r>
          </w:p>
        </w:tc>
        <w:tc>
          <w:tcPr>
            <w:tcW w:w="339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AEFA650"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სულ</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დადასტურებული</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შემთხვევები</w:t>
            </w:r>
          </w:p>
        </w:tc>
        <w:tc>
          <w:tcPr>
            <w:tcW w:w="244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6CC2BDF"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სულ</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სიკვდილის</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შემთხვევები</w:t>
            </w:r>
          </w:p>
        </w:tc>
        <w:tc>
          <w:tcPr>
            <w:tcW w:w="2536"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1BBD790" w14:textId="77777777" w:rsidR="00A7623C" w:rsidRPr="00A7623C" w:rsidRDefault="00A7623C" w:rsidP="00A7623C">
            <w:pPr>
              <w:spacing w:after="0" w:line="240" w:lineRule="auto"/>
              <w:rPr>
                <w:rFonts w:ascii="Calibri" w:eastAsia="Times New Roman" w:hAnsi="Calibri" w:cs="Calibri"/>
                <w:b/>
                <w:bCs/>
                <w:color w:val="FFFFFF"/>
                <w:lang w:val="ka-GE"/>
              </w:rPr>
            </w:pPr>
            <w:r w:rsidRPr="00A7623C">
              <w:rPr>
                <w:rFonts w:ascii="Sylfaen" w:eastAsia="Times New Roman" w:hAnsi="Sylfaen" w:cs="Sylfaen"/>
                <w:b/>
                <w:bCs/>
                <w:color w:val="FFFFFF"/>
                <w:lang w:val="ka-GE"/>
              </w:rPr>
              <w:t>ლეტალობის</w:t>
            </w:r>
            <w:r w:rsidRPr="00A7623C">
              <w:rPr>
                <w:rFonts w:ascii="Calibri" w:eastAsia="Times New Roman" w:hAnsi="Calibri" w:cs="Calibri"/>
                <w:b/>
                <w:bCs/>
                <w:color w:val="FFFFFF"/>
                <w:lang w:val="ka-GE"/>
              </w:rPr>
              <w:t xml:space="preserve"> </w:t>
            </w:r>
            <w:r w:rsidRPr="00A7623C">
              <w:rPr>
                <w:rFonts w:ascii="Sylfaen" w:eastAsia="Times New Roman" w:hAnsi="Sylfaen" w:cs="Sylfaen"/>
                <w:b/>
                <w:bCs/>
                <w:color w:val="FFFFFF"/>
                <w:lang w:val="ka-GE"/>
              </w:rPr>
              <w:t>მაჩვენებელი</w:t>
            </w:r>
          </w:p>
        </w:tc>
      </w:tr>
      <w:tr w:rsidR="00A7623C" w:rsidRPr="00A7623C" w14:paraId="0F444F35"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1C8EF8"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სომხეთი</w:t>
            </w:r>
          </w:p>
        </w:tc>
        <w:tc>
          <w:tcPr>
            <w:tcW w:w="33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0A59D9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2386</w:t>
            </w:r>
          </w:p>
        </w:tc>
        <w:tc>
          <w:tcPr>
            <w:tcW w:w="24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C9C112A"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35</w:t>
            </w:r>
          </w:p>
        </w:tc>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A4B212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1.47</w:t>
            </w:r>
          </w:p>
        </w:tc>
      </w:tr>
      <w:tr w:rsidR="00A7623C" w:rsidRPr="00A7623C" w14:paraId="4EF137D3"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5CE6"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აზერბაიჯანი</w:t>
            </w:r>
          </w:p>
        </w:tc>
        <w:tc>
          <w:tcPr>
            <w:tcW w:w="3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C9A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1932</w:t>
            </w:r>
          </w:p>
        </w:tc>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50827"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25</w:t>
            </w:r>
          </w:p>
        </w:tc>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A83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1.29</w:t>
            </w:r>
          </w:p>
        </w:tc>
      </w:tr>
      <w:tr w:rsidR="00A7623C" w:rsidRPr="00A7623C" w14:paraId="188A4FCA"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F789AC"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უკრაინა</w:t>
            </w:r>
          </w:p>
        </w:tc>
        <w:tc>
          <w:tcPr>
            <w:tcW w:w="33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69542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11913</w:t>
            </w:r>
          </w:p>
        </w:tc>
        <w:tc>
          <w:tcPr>
            <w:tcW w:w="24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0CEB071"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288</w:t>
            </w:r>
          </w:p>
        </w:tc>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53A91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2.42</w:t>
            </w:r>
          </w:p>
        </w:tc>
      </w:tr>
      <w:tr w:rsidR="00A7623C" w:rsidRPr="00A7623C" w14:paraId="6A92F5EB"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3C4F7"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ბელორუსია</w:t>
            </w:r>
          </w:p>
        </w:tc>
        <w:tc>
          <w:tcPr>
            <w:tcW w:w="3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7DD4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16705</w:t>
            </w:r>
          </w:p>
        </w:tc>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79FB"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99</w:t>
            </w:r>
          </w:p>
        </w:tc>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46AD3"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0.59</w:t>
            </w:r>
          </w:p>
        </w:tc>
      </w:tr>
      <w:tr w:rsidR="00A7623C" w:rsidRPr="00A7623C" w14:paraId="76A8725B"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F12D56"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მოლდოვა</w:t>
            </w:r>
          </w:p>
        </w:tc>
        <w:tc>
          <w:tcPr>
            <w:tcW w:w="33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65047A"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4121</w:t>
            </w:r>
          </w:p>
        </w:tc>
        <w:tc>
          <w:tcPr>
            <w:tcW w:w="24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6973B1"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125</w:t>
            </w:r>
          </w:p>
        </w:tc>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88300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3.03</w:t>
            </w:r>
          </w:p>
        </w:tc>
      </w:tr>
      <w:tr w:rsidR="00A7623C" w:rsidRPr="00A7623C" w14:paraId="0C4B2CE3"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81521"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ყაზახეთი</w:t>
            </w:r>
          </w:p>
        </w:tc>
        <w:tc>
          <w:tcPr>
            <w:tcW w:w="3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F676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3964</w:t>
            </w:r>
          </w:p>
        </w:tc>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FDC01"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27</w:t>
            </w:r>
          </w:p>
        </w:tc>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7BB5A"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0.68</w:t>
            </w:r>
          </w:p>
        </w:tc>
      </w:tr>
      <w:tr w:rsidR="00A7623C" w:rsidRPr="00A7623C" w14:paraId="491BE2D0"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05C07E"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უზბეკეთი</w:t>
            </w:r>
          </w:p>
        </w:tc>
        <w:tc>
          <w:tcPr>
            <w:tcW w:w="33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B6708F"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2149</w:t>
            </w:r>
          </w:p>
        </w:tc>
        <w:tc>
          <w:tcPr>
            <w:tcW w:w="24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090AC0"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10</w:t>
            </w:r>
          </w:p>
        </w:tc>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EE1155"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0.47</w:t>
            </w:r>
          </w:p>
        </w:tc>
      </w:tr>
      <w:tr w:rsidR="00A7623C" w:rsidRPr="00A7623C" w14:paraId="503C886B"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933A2"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ყირგიზეთი</w:t>
            </w:r>
          </w:p>
        </w:tc>
        <w:tc>
          <w:tcPr>
            <w:tcW w:w="3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EA12D"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830</w:t>
            </w:r>
          </w:p>
        </w:tc>
        <w:tc>
          <w:tcPr>
            <w:tcW w:w="2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9EE3A"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10</w:t>
            </w:r>
          </w:p>
        </w:tc>
        <w:tc>
          <w:tcPr>
            <w:tcW w:w="2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4E75C"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1.20</w:t>
            </w:r>
          </w:p>
        </w:tc>
      </w:tr>
      <w:tr w:rsidR="00A7623C" w:rsidRPr="00A7623C" w14:paraId="7B11755E" w14:textId="77777777" w:rsidTr="00873008">
        <w:trPr>
          <w:trHeight w:val="293"/>
        </w:trPr>
        <w:tc>
          <w:tcPr>
            <w:tcW w:w="2594"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4A479A" w14:textId="77777777" w:rsidR="00A7623C" w:rsidRPr="00A7623C" w:rsidRDefault="00A7623C" w:rsidP="00A7623C">
            <w:pPr>
              <w:spacing w:after="0" w:line="240" w:lineRule="auto"/>
              <w:rPr>
                <w:rFonts w:ascii="Calibri" w:eastAsia="Times New Roman" w:hAnsi="Calibri" w:cs="Calibri"/>
                <w:color w:val="000000"/>
                <w:lang w:val="ka-GE"/>
              </w:rPr>
            </w:pPr>
            <w:r w:rsidRPr="00A7623C">
              <w:rPr>
                <w:rFonts w:ascii="Sylfaen" w:eastAsia="Times New Roman" w:hAnsi="Sylfaen" w:cs="Sylfaen"/>
                <w:color w:val="000000"/>
                <w:lang w:val="ka-GE"/>
              </w:rPr>
              <w:t>ავღანეთი</w:t>
            </w:r>
          </w:p>
        </w:tc>
        <w:tc>
          <w:tcPr>
            <w:tcW w:w="339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5A9AF1E"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2704</w:t>
            </w:r>
          </w:p>
        </w:tc>
        <w:tc>
          <w:tcPr>
            <w:tcW w:w="244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9AFF960"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85</w:t>
            </w:r>
          </w:p>
        </w:tc>
        <w:tc>
          <w:tcPr>
            <w:tcW w:w="253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EFEABCC" w14:textId="77777777" w:rsidR="00A7623C" w:rsidRPr="00A7623C" w:rsidRDefault="00A7623C" w:rsidP="00A7623C">
            <w:pPr>
              <w:spacing w:after="0" w:line="240" w:lineRule="auto"/>
              <w:jc w:val="right"/>
              <w:rPr>
                <w:rFonts w:ascii="Calibri" w:eastAsia="Times New Roman" w:hAnsi="Calibri" w:cs="Calibri"/>
                <w:color w:val="000000"/>
                <w:lang w:val="ka-GE"/>
              </w:rPr>
            </w:pPr>
            <w:r w:rsidRPr="00A7623C">
              <w:rPr>
                <w:rFonts w:ascii="Calibri" w:eastAsia="Times New Roman" w:hAnsi="Calibri" w:cs="Calibri"/>
                <w:color w:val="000000"/>
                <w:lang w:val="ka-GE"/>
              </w:rPr>
              <w:t>3.14</w:t>
            </w:r>
          </w:p>
        </w:tc>
      </w:tr>
    </w:tbl>
    <w:p w14:paraId="19BE165E" w14:textId="77777777" w:rsidR="000D715D" w:rsidRDefault="000D715D" w:rsidP="000D715D">
      <w:pPr>
        <w:spacing w:after="200" w:line="276" w:lineRule="auto"/>
        <w:rPr>
          <w:rFonts w:ascii="Sylfaen" w:hAnsi="Sylfaen"/>
          <w:sz w:val="24"/>
          <w:lang w:val="ka-GE"/>
        </w:rPr>
      </w:pPr>
    </w:p>
    <w:p w14:paraId="3D36460C" w14:textId="689B543A" w:rsidR="000D715D" w:rsidRPr="000D715D" w:rsidRDefault="000D715D" w:rsidP="000D715D">
      <w:pPr>
        <w:spacing w:after="200" w:line="276" w:lineRule="auto"/>
        <w:rPr>
          <w:rFonts w:ascii="Sylfaen" w:hAnsi="Sylfaen"/>
          <w:b/>
          <w:sz w:val="24"/>
          <w:lang w:val="ka-GE"/>
        </w:rPr>
      </w:pPr>
      <w:r w:rsidRPr="000D715D">
        <w:rPr>
          <w:rFonts w:ascii="Sylfaen" w:hAnsi="Sylfaen"/>
          <w:b/>
          <w:sz w:val="24"/>
          <w:lang w:val="ka-GE"/>
        </w:rPr>
        <w:t>რეკომენდაციები:</w:t>
      </w:r>
    </w:p>
    <w:p w14:paraId="662A00CA" w14:textId="77777777" w:rsidR="000D715D" w:rsidRPr="000D715D" w:rsidRDefault="000D715D" w:rsidP="000D715D">
      <w:pPr>
        <w:spacing w:after="200" w:line="276" w:lineRule="auto"/>
        <w:rPr>
          <w:rFonts w:ascii="Sylfaen" w:hAnsi="Sylfaen"/>
          <w:b/>
          <w:lang w:val="ka-GE"/>
        </w:rPr>
      </w:pPr>
    </w:p>
    <w:p w14:paraId="270CE0DC" w14:textId="77777777" w:rsidR="000D715D" w:rsidRPr="00341EC0" w:rsidRDefault="000D715D" w:rsidP="000D715D">
      <w:pPr>
        <w:pStyle w:val="ListParagraph"/>
        <w:numPr>
          <w:ilvl w:val="0"/>
          <w:numId w:val="13"/>
        </w:numPr>
        <w:spacing w:after="200" w:line="276" w:lineRule="auto"/>
        <w:rPr>
          <w:rFonts w:ascii="Sylfaen" w:hAnsi="Sylfaen"/>
          <w:b/>
          <w:lang w:val="ka-GE"/>
        </w:rPr>
      </w:pPr>
      <w:r w:rsidRPr="00341EC0">
        <w:rPr>
          <w:rFonts w:ascii="Sylfaen" w:hAnsi="Sylfaen"/>
          <w:b/>
          <w:lang w:val="ka-GE"/>
        </w:rPr>
        <w:t>ქვემო ქართლის რეგიონის სამ მუნიციპალიტეტში ვიზიტიდან გამომდინარე რეკომენდაციები.</w:t>
      </w:r>
    </w:p>
    <w:p w14:paraId="341B325D" w14:textId="77777777" w:rsidR="000D715D" w:rsidRDefault="000D715D" w:rsidP="000D715D">
      <w:pPr>
        <w:jc w:val="both"/>
        <w:rPr>
          <w:rFonts w:ascii="Sylfaen" w:hAnsi="Sylfaen"/>
          <w:lang w:val="ka-GE"/>
        </w:rPr>
      </w:pPr>
      <w:r>
        <w:rPr>
          <w:rFonts w:ascii="Sylfaen" w:hAnsi="Sylfaen"/>
          <w:lang w:val="ka-GE"/>
        </w:rPr>
        <w:t>2 მაისს ქვემო ქართლის რეგიონის სამ მუნიციპალიტეტში (მარნეული, ბოლნისი, თეთრიწყარო) გახლდით დაავადებათა კონტროლისა და საზოგადოებრივი ჯანმრთელობის ეროვნული ცენტრის ხელმძღვანელი გუნდი. გაიმართა შეხვედრები რეგიონისა და მუნიციპალიტეტის ხელმძღვანელობასთან, საზოგადოებრივი ჯანდაცვის სამსახურების რეგიონულ და მუნიციპალური სტრუქტურების წარმომადგენლებთან. რეგიონის უკეთესად შესწავლის მიზნით, სამივე მუნიციპალიტეტში ადგილობრივი თვითმართველობის ხელმძღვანელებთან ერთად, ადგილზე შეფასდა არსებული მდგომარეობა, გამოიკვეთა ძირითადი გამოწვევები, ვიმსჯელეთ პრობლემების დაძლევის გზებზე და მეტი მხარდაჭერის ღონისძიებებზე.</w:t>
      </w:r>
    </w:p>
    <w:p w14:paraId="1267D67B" w14:textId="77777777" w:rsidR="000D715D" w:rsidRDefault="000D715D" w:rsidP="000D715D">
      <w:pPr>
        <w:jc w:val="both"/>
        <w:rPr>
          <w:rFonts w:ascii="Sylfaen" w:hAnsi="Sylfaen"/>
          <w:lang w:val="ka-GE"/>
        </w:rPr>
      </w:pPr>
      <w:r>
        <w:rPr>
          <w:rFonts w:ascii="Sylfaen" w:hAnsi="Sylfaen"/>
          <w:lang w:val="ka-GE"/>
        </w:rPr>
        <w:t>მოგეხსენებათ, ქვემო ქართლის რეგიონი მჭიდრო კავშირშია თბილისთან როგორც ფინანსური მობმით ასევე ტერიტორიული სიახლოვით. ზოგადად</w:t>
      </w:r>
      <w:r>
        <w:rPr>
          <w:rFonts w:ascii="Sylfaen" w:hAnsi="Sylfaen"/>
        </w:rPr>
        <w:t>,</w:t>
      </w:r>
      <w:r>
        <w:rPr>
          <w:rFonts w:ascii="Sylfaen" w:hAnsi="Sylfaen"/>
          <w:lang w:val="ka-GE"/>
        </w:rPr>
        <w:t xml:space="preserve"> დიდია მოსახლეობის მიმოსვლა ამ ორ რეგიონს შორის, მომსახურე სამედიცინო პერსონალის დიდი ნაწილიც საზიაროა.                                                                                                                                                                                                                                                                                                                 2 მაისის  ქ. რუსთავში დაფიქსირდა  კოვიდის პირველი შემთხვევა, მარნეულის სასწრაფო დახმარების პერსონალში დადასტურდა 8 ახალი შემთხვევა. 2 მაისის მდგომარეობით, მთლიან ქვემო ქართლში აღრიცხულია 189 კოვიდის  შემთხვევა, რაც ქვეყნის მასშტაბით გამოვლენილი შემთხვევების 32%-ს შეადგენს. მათგან ბოლნისში -107; თეთრიწყაროში - 48 და მარნეულში - 33 შემთხვევა.  </w:t>
      </w:r>
    </w:p>
    <w:p w14:paraId="349BE51B" w14:textId="77777777" w:rsidR="000D715D" w:rsidRDefault="000D715D" w:rsidP="000D715D">
      <w:pPr>
        <w:jc w:val="both"/>
        <w:rPr>
          <w:rFonts w:ascii="Sylfaen" w:hAnsi="Sylfaen"/>
          <w:lang w:val="ka-GE"/>
        </w:rPr>
      </w:pPr>
      <w:r>
        <w:rPr>
          <w:rFonts w:ascii="Sylfaen" w:hAnsi="Sylfaen"/>
          <w:lang w:val="ka-GE"/>
        </w:rPr>
        <w:t>შესწავლილი მდგომარეობისა და არსებული მონაცემების (მასალის) გაანალიზების საფუძველზე წარმოგიდგენთ ამ ეტაპისთვის ჩვენს რეკომენდაციებს, რომლებიც შესაძლებელია შეიცვალოს ეპიდსიტუაციის განვითარების მიხედვით:</w:t>
      </w:r>
    </w:p>
    <w:p w14:paraId="5BB10E08" w14:textId="77777777" w:rsidR="000D715D" w:rsidRDefault="000D715D" w:rsidP="000D715D">
      <w:pPr>
        <w:jc w:val="both"/>
        <w:rPr>
          <w:rFonts w:ascii="Sylfaen" w:hAnsi="Sylfaen"/>
          <w:lang w:val="ka-GE"/>
        </w:rPr>
      </w:pPr>
      <w:r>
        <w:rPr>
          <w:rFonts w:ascii="Sylfaen" w:hAnsi="Sylfaen"/>
        </w:rPr>
        <w:t>COVID-19</w:t>
      </w:r>
      <w:r>
        <w:rPr>
          <w:rFonts w:ascii="Sylfaen" w:hAnsi="Sylfaen"/>
          <w:lang w:val="ka-GE"/>
        </w:rPr>
        <w:t>-ის ახალი შემთხვვევების დროული გამოვლენისა და გავრცელების შეკავების მიზნით განსახორციელებელი აქტივობები მართვის სხვადასხვა სტრუქტურული ერთეულების მიერ</w:t>
      </w:r>
    </w:p>
    <w:p w14:paraId="47A106D7" w14:textId="75880D43" w:rsidR="000D715D" w:rsidRDefault="000D715D" w:rsidP="000D715D">
      <w:pPr>
        <w:pStyle w:val="ListParagraph"/>
        <w:spacing w:after="200" w:line="276" w:lineRule="auto"/>
        <w:rPr>
          <w:rFonts w:ascii="Sylfaen" w:hAnsi="Sylfaen"/>
          <w:lang w:val="ka-GE"/>
        </w:rPr>
      </w:pPr>
    </w:p>
    <w:p w14:paraId="0790317D" w14:textId="77777777" w:rsidR="000D715D" w:rsidRPr="009B5944" w:rsidRDefault="000D715D" w:rsidP="000D715D">
      <w:pPr>
        <w:rPr>
          <w:rFonts w:ascii="Sylfaen" w:hAnsi="Sylfaen"/>
          <w:b/>
          <w:lang w:val="ka-GE"/>
        </w:rPr>
      </w:pPr>
      <w:r w:rsidRPr="009B5944">
        <w:rPr>
          <w:rFonts w:ascii="Sylfaen" w:hAnsi="Sylfaen"/>
          <w:b/>
          <w:lang w:val="ka-GE"/>
        </w:rPr>
        <w:lastRenderedPageBreak/>
        <w:t>დაავადებათა კონტროლის ეროვნული ცენტრის დონეზე:</w:t>
      </w:r>
    </w:p>
    <w:p w14:paraId="41C7318C" w14:textId="77777777" w:rsidR="000D715D" w:rsidRPr="00466D8C" w:rsidRDefault="000D715D" w:rsidP="000D715D">
      <w:pPr>
        <w:pStyle w:val="ListParagraph"/>
        <w:numPr>
          <w:ilvl w:val="0"/>
          <w:numId w:val="12"/>
        </w:numPr>
        <w:spacing w:after="200" w:line="276" w:lineRule="auto"/>
        <w:rPr>
          <w:rFonts w:ascii="Sylfaen" w:hAnsi="Sylfaen"/>
          <w:lang w:val="ka-GE"/>
        </w:rPr>
      </w:pPr>
      <w:r w:rsidRPr="00466D8C">
        <w:rPr>
          <w:rFonts w:ascii="Sylfaen" w:hAnsi="Sylfaen"/>
          <w:lang w:val="ka-GE"/>
        </w:rPr>
        <w:t xml:space="preserve">შემთხვევათა დროული ლაბორატორიული დიაგნოსტიკის </w:t>
      </w:r>
      <w:r>
        <w:rPr>
          <w:rFonts w:ascii="Sylfaen" w:hAnsi="Sylfaen"/>
          <w:lang w:val="ka-GE"/>
        </w:rPr>
        <w:t>უ</w:t>
      </w:r>
      <w:r w:rsidRPr="00466D8C">
        <w:rPr>
          <w:rFonts w:ascii="Sylfaen" w:hAnsi="Sylfaen"/>
          <w:lang w:val="ka-GE"/>
        </w:rPr>
        <w:t>ზრუნველყოფა</w:t>
      </w:r>
      <w:r>
        <w:rPr>
          <w:rFonts w:ascii="Sylfaen" w:hAnsi="Sylfaen"/>
        </w:rPr>
        <w:t xml:space="preserve">: </w:t>
      </w:r>
      <w:r>
        <w:rPr>
          <w:rFonts w:ascii="Sylfaen" w:hAnsi="Sylfaen"/>
          <w:lang w:val="ka-GE"/>
        </w:rPr>
        <w:t>ცენტრის მიერ ნიმუშების ლაბორატორიული კვლევის შედეგეგი დამკვეთს მიეწოდება 24-48 საათში;</w:t>
      </w:r>
    </w:p>
    <w:p w14:paraId="11C496FD" w14:textId="77777777" w:rsidR="000D715D" w:rsidRPr="00466D8C" w:rsidRDefault="000D715D" w:rsidP="000D715D">
      <w:pPr>
        <w:pStyle w:val="ListParagraph"/>
        <w:numPr>
          <w:ilvl w:val="0"/>
          <w:numId w:val="12"/>
        </w:numPr>
        <w:spacing w:after="200" w:line="276" w:lineRule="auto"/>
        <w:rPr>
          <w:rFonts w:ascii="Sylfaen" w:hAnsi="Sylfaen"/>
          <w:lang w:val="ka-GE"/>
        </w:rPr>
      </w:pPr>
      <w:r w:rsidRPr="00466D8C">
        <w:rPr>
          <w:rFonts w:ascii="Sylfaen" w:hAnsi="Sylfaen"/>
          <w:lang w:val="ka-GE"/>
        </w:rPr>
        <w:t>ნაცხის აღებისთვის დამატებითი პერსონალის მომზადება, მ.შ. ისეთ რაიონებში, რომლებიც არაა დაზარალებული;</w:t>
      </w:r>
      <w:r>
        <w:rPr>
          <w:rFonts w:ascii="Sylfaen" w:hAnsi="Sylfaen"/>
          <w:lang w:val="ka-GE"/>
        </w:rPr>
        <w:t xml:space="preserve"> მომდევნო სამუშაო კვირის მანძილზე (4-8 მაისი) ცენტრის მიერ თითოეული რაიონისთვის გადამზადდება 2-4 სპეციალისტი რომლებიც შეძლებენ აიღონ სინჯები შემდგომი  ლაბორატორიული დიაგნოსტიკისთვის.</w:t>
      </w:r>
    </w:p>
    <w:p w14:paraId="3DE11431" w14:textId="77777777" w:rsidR="000D715D" w:rsidRPr="00466D8C" w:rsidRDefault="000D715D" w:rsidP="000D715D">
      <w:pPr>
        <w:pStyle w:val="ListParagraph"/>
        <w:numPr>
          <w:ilvl w:val="0"/>
          <w:numId w:val="12"/>
        </w:numPr>
        <w:spacing w:after="200" w:line="276" w:lineRule="auto"/>
        <w:rPr>
          <w:rFonts w:ascii="Sylfaen" w:hAnsi="Sylfaen"/>
          <w:lang w:val="ka-GE"/>
        </w:rPr>
      </w:pPr>
      <w:r w:rsidRPr="00466D8C">
        <w:rPr>
          <w:rFonts w:ascii="Sylfaen" w:hAnsi="Sylfaen"/>
          <w:lang w:val="ka-GE"/>
        </w:rPr>
        <w:t>დამატებითი ლაბორატორიული შესაძლებლობების შექმნა რეგიონში;</w:t>
      </w:r>
      <w:r>
        <w:rPr>
          <w:rFonts w:ascii="Sylfaen" w:hAnsi="Sylfaen"/>
          <w:lang w:val="ka-GE"/>
        </w:rPr>
        <w:t xml:space="preserve"> ცენტრი განიხილვას მარნეულის სამედიცინო ცენტრ „მედიქსში“ (ან სხვა ალტერნატიულ სამედიცინო დაწესებულებაში) შესაბამისი სიმძლავრის განვითარებას ადგილზე კოვიდის დიაგნოსტიკის შესაძლებლობის შექმნის მიზნით, რომელიც დაეყრდნობა პჯრ ტექნოლოგიას. აქვე დავსძენთ, რომ „მედიქსი“ ფლობს </w:t>
      </w:r>
      <w:proofErr w:type="spellStart"/>
      <w:r>
        <w:rPr>
          <w:rFonts w:ascii="Sylfaen" w:hAnsi="Sylfaen"/>
        </w:rPr>
        <w:t>GeneXpert</w:t>
      </w:r>
      <w:proofErr w:type="spellEnd"/>
      <w:r>
        <w:rPr>
          <w:rFonts w:ascii="Sylfaen" w:hAnsi="Sylfaen"/>
        </w:rPr>
        <w:t xml:space="preserve"> </w:t>
      </w:r>
      <w:r>
        <w:rPr>
          <w:rFonts w:ascii="Sylfaen" w:hAnsi="Sylfaen"/>
          <w:lang w:val="ka-GE"/>
        </w:rPr>
        <w:t>აპარატს და ჰყავს შესაბამისი კადრი, რომლის გადამზადებას კოვიდზე უზრუნველყოფს დაავადებათა კონტროლისა და საზოგადოებრივი ჯანმრთელობის ცენტრი;</w:t>
      </w:r>
    </w:p>
    <w:p w14:paraId="7ED0830C" w14:textId="465CC2BA" w:rsidR="000D715D" w:rsidRPr="00466D8C" w:rsidRDefault="000D715D" w:rsidP="000D715D">
      <w:pPr>
        <w:pStyle w:val="ListParagraph"/>
        <w:numPr>
          <w:ilvl w:val="0"/>
          <w:numId w:val="12"/>
        </w:numPr>
        <w:spacing w:after="200" w:line="276" w:lineRule="auto"/>
        <w:rPr>
          <w:rFonts w:ascii="Sylfaen" w:hAnsi="Sylfaen"/>
          <w:lang w:val="ka-GE"/>
        </w:rPr>
      </w:pPr>
      <w:r w:rsidRPr="00466D8C">
        <w:rPr>
          <w:rFonts w:ascii="Sylfaen" w:hAnsi="Sylfaen"/>
          <w:lang w:val="ka-GE"/>
        </w:rPr>
        <w:t>ნაცხის ასაღები ინვენტარით უწყვეტი მომარაგება;</w:t>
      </w:r>
      <w:r>
        <w:rPr>
          <w:rFonts w:ascii="Sylfaen" w:hAnsi="Sylfaen"/>
          <w:lang w:val="ka-GE"/>
        </w:rPr>
        <w:t xml:space="preserve"> ადგილობრივ სპეციალისტთა გადამზადების შემდეგ, თითოეული რაიონის საზოგადოებრივი ჯანმრთელობის ცენტრი, რუსთავის სჯც-სთან კოორდინაციით მიიღებს სახარჯი მასალის ადექვატურ რაოდენობას;</w:t>
      </w:r>
    </w:p>
    <w:p w14:paraId="20406F1A" w14:textId="77777777" w:rsidR="000D715D" w:rsidRPr="00466D8C" w:rsidRDefault="000D715D" w:rsidP="000D715D">
      <w:pPr>
        <w:pStyle w:val="ListParagraph"/>
        <w:numPr>
          <w:ilvl w:val="0"/>
          <w:numId w:val="12"/>
        </w:numPr>
        <w:spacing w:after="200" w:line="276" w:lineRule="auto"/>
        <w:rPr>
          <w:rFonts w:ascii="Sylfaen" w:hAnsi="Sylfaen"/>
          <w:lang w:val="ka-GE"/>
        </w:rPr>
      </w:pPr>
      <w:r w:rsidRPr="00466D8C">
        <w:rPr>
          <w:rFonts w:ascii="Sylfaen" w:hAnsi="Sylfaen"/>
          <w:lang w:val="ka-GE"/>
        </w:rPr>
        <w:t>საგანმანათლებლო მასალით უზრუნველყოფის მხარდაჭერა;</w:t>
      </w:r>
    </w:p>
    <w:p w14:paraId="62F30924" w14:textId="7EDEB89F" w:rsidR="000D715D" w:rsidRDefault="000D715D" w:rsidP="000D715D">
      <w:pPr>
        <w:pStyle w:val="ListParagraph"/>
        <w:numPr>
          <w:ilvl w:val="0"/>
          <w:numId w:val="12"/>
        </w:numPr>
        <w:spacing w:after="200" w:line="276" w:lineRule="auto"/>
        <w:rPr>
          <w:rFonts w:ascii="Sylfaen" w:hAnsi="Sylfaen"/>
          <w:lang w:val="ka-GE"/>
        </w:rPr>
      </w:pPr>
      <w:r w:rsidRPr="00466D8C">
        <w:rPr>
          <w:rFonts w:ascii="Sylfaen" w:hAnsi="Sylfaen"/>
          <w:lang w:val="ka-GE"/>
        </w:rPr>
        <w:t>სწავლებების ორგანიზება კომპეტენციის ფარგლებში: ინფექციების პრევენცია და კონტროლი ჰოსპიტალურ დონეზე</w:t>
      </w:r>
      <w:r>
        <w:rPr>
          <w:rFonts w:ascii="Sylfaen" w:hAnsi="Sylfaen"/>
          <w:lang w:val="ka-GE"/>
        </w:rPr>
        <w:t>, სინჯის აღება, ბიოუსაფრთხოება</w:t>
      </w:r>
      <w:r w:rsidRPr="00466D8C">
        <w:rPr>
          <w:rFonts w:ascii="Sylfaen" w:hAnsi="Sylfaen"/>
          <w:lang w:val="ka-GE"/>
        </w:rPr>
        <w:t xml:space="preserve"> და სხვ.</w:t>
      </w:r>
      <w:r>
        <w:rPr>
          <w:rFonts w:ascii="Sylfaen" w:hAnsi="Sylfaen"/>
          <w:lang w:val="ka-GE"/>
        </w:rPr>
        <w:t xml:space="preserve"> მოხდება ონლაინ სწავლების ორგანიზება, რომელიც მხარდაჭერილი უნდა იყოს ადგილებზე საავადმყოფოების და ადგილობრივი ხელისუფლებების მიერ, რათა სწავლება განხორციელდეს უსაფრთხოდ (ონლაინ), მსმენელთა მაქსიმალური რაოდენობის ჩართვით;</w:t>
      </w:r>
    </w:p>
    <w:p w14:paraId="20B29BF9" w14:textId="77777777" w:rsidR="000D715D" w:rsidRDefault="000D715D" w:rsidP="000D715D">
      <w:pPr>
        <w:pStyle w:val="ListParagraph"/>
        <w:numPr>
          <w:ilvl w:val="0"/>
          <w:numId w:val="12"/>
        </w:numPr>
        <w:spacing w:after="200" w:line="276" w:lineRule="auto"/>
        <w:rPr>
          <w:rFonts w:ascii="Sylfaen" w:hAnsi="Sylfaen"/>
          <w:lang w:val="ka-GE"/>
        </w:rPr>
      </w:pPr>
      <w:r>
        <w:rPr>
          <w:rFonts w:ascii="Sylfaen" w:hAnsi="Sylfaen"/>
          <w:lang w:val="ka-GE"/>
        </w:rPr>
        <w:t>დახმარება რაიონის/სამხარეო ეპიდსიტუაციის აღწერილობითი ანალიზის წარმოებაში</w:t>
      </w:r>
    </w:p>
    <w:p w14:paraId="02FB1602" w14:textId="77777777" w:rsidR="000D715D" w:rsidRDefault="000D715D" w:rsidP="000D715D">
      <w:pPr>
        <w:rPr>
          <w:rFonts w:ascii="Sylfaen" w:hAnsi="Sylfaen"/>
          <w:b/>
          <w:lang w:val="ka-GE"/>
        </w:rPr>
      </w:pPr>
    </w:p>
    <w:p w14:paraId="3ABA4A10" w14:textId="77777777" w:rsidR="000D715D" w:rsidRPr="009B5944" w:rsidRDefault="000D715D" w:rsidP="000D715D">
      <w:pPr>
        <w:rPr>
          <w:rFonts w:ascii="Sylfaen" w:hAnsi="Sylfaen"/>
          <w:b/>
          <w:lang w:val="ka-GE"/>
        </w:rPr>
      </w:pPr>
      <w:r w:rsidRPr="009B5944">
        <w:rPr>
          <w:rFonts w:ascii="Sylfaen" w:hAnsi="Sylfaen"/>
          <w:b/>
          <w:lang w:val="ka-GE"/>
        </w:rPr>
        <w:t>ადგილობრივ და სამხარეო დონეზე:</w:t>
      </w:r>
    </w:p>
    <w:p w14:paraId="17B81AE9" w14:textId="77777777" w:rsidR="000D715D" w:rsidRDefault="000D715D" w:rsidP="000D715D">
      <w:pPr>
        <w:pStyle w:val="ListParagraph"/>
        <w:numPr>
          <w:ilvl w:val="0"/>
          <w:numId w:val="10"/>
        </w:numPr>
        <w:spacing w:after="200" w:line="276" w:lineRule="auto"/>
        <w:rPr>
          <w:rFonts w:ascii="Sylfaen" w:hAnsi="Sylfaen"/>
          <w:lang w:val="ka-GE"/>
        </w:rPr>
      </w:pPr>
      <w:r w:rsidRPr="00CC1B91">
        <w:rPr>
          <w:rFonts w:ascii="Sylfaen" w:hAnsi="Sylfaen"/>
          <w:lang w:val="ka-GE"/>
        </w:rPr>
        <w:t>მოსახლეობის ინფორმირებულობის გაზრდა ხელმისაწვდომ ენაზე, კერძოდ:</w:t>
      </w:r>
      <w:r>
        <w:rPr>
          <w:rFonts w:ascii="Sylfaen" w:hAnsi="Sylfaen"/>
          <w:lang w:val="ka-GE"/>
        </w:rPr>
        <w:t xml:space="preserve"> </w:t>
      </w:r>
    </w:p>
    <w:p w14:paraId="0CED20FC" w14:textId="77777777" w:rsidR="000D715D" w:rsidRDefault="000D715D" w:rsidP="000D715D">
      <w:pPr>
        <w:pStyle w:val="ListParagraph"/>
        <w:numPr>
          <w:ilvl w:val="0"/>
          <w:numId w:val="11"/>
        </w:numPr>
        <w:spacing w:after="200" w:line="276" w:lineRule="auto"/>
        <w:rPr>
          <w:rFonts w:ascii="Sylfaen" w:hAnsi="Sylfaen"/>
          <w:lang w:val="ka-GE"/>
        </w:rPr>
      </w:pPr>
      <w:r w:rsidRPr="00CC1B91">
        <w:rPr>
          <w:rFonts w:ascii="Sylfaen" w:hAnsi="Sylfaen" w:cs="Sylfaen"/>
          <w:lang w:val="ka-GE"/>
        </w:rPr>
        <w:t>დაავადების</w:t>
      </w:r>
      <w:r w:rsidRPr="00CC1B91">
        <w:rPr>
          <w:rFonts w:ascii="Sylfaen" w:hAnsi="Sylfaen"/>
          <w:lang w:val="ka-GE"/>
        </w:rPr>
        <w:t xml:space="preserve"> შესახებ; </w:t>
      </w:r>
    </w:p>
    <w:p w14:paraId="001709D7" w14:textId="77777777" w:rsidR="000D715D" w:rsidRDefault="000D715D" w:rsidP="000D715D">
      <w:pPr>
        <w:pStyle w:val="ListParagraph"/>
        <w:numPr>
          <w:ilvl w:val="0"/>
          <w:numId w:val="11"/>
        </w:numPr>
        <w:spacing w:after="200" w:line="276" w:lineRule="auto"/>
        <w:rPr>
          <w:rFonts w:ascii="Sylfaen" w:hAnsi="Sylfaen"/>
          <w:lang w:val="ka-GE"/>
        </w:rPr>
      </w:pPr>
      <w:r w:rsidRPr="00CC1B91">
        <w:rPr>
          <w:rFonts w:ascii="Sylfaen" w:hAnsi="Sylfaen"/>
          <w:lang w:val="ka-GE"/>
        </w:rPr>
        <w:t xml:space="preserve">შეკავების მეთოდებზე; </w:t>
      </w:r>
    </w:p>
    <w:p w14:paraId="0EE1299E" w14:textId="77777777" w:rsidR="000D715D" w:rsidRDefault="000D715D" w:rsidP="000D715D">
      <w:pPr>
        <w:pStyle w:val="ListParagraph"/>
        <w:numPr>
          <w:ilvl w:val="0"/>
          <w:numId w:val="11"/>
        </w:numPr>
        <w:spacing w:after="200" w:line="276" w:lineRule="auto"/>
        <w:rPr>
          <w:rFonts w:ascii="Sylfaen" w:hAnsi="Sylfaen"/>
          <w:lang w:val="ka-GE"/>
        </w:rPr>
      </w:pPr>
      <w:r w:rsidRPr="00CC1B91">
        <w:rPr>
          <w:rFonts w:ascii="Sylfaen" w:hAnsi="Sylfaen"/>
          <w:lang w:val="ka-GE"/>
        </w:rPr>
        <w:t xml:space="preserve">საფრთხეებზე; </w:t>
      </w:r>
    </w:p>
    <w:p w14:paraId="6F0641D4" w14:textId="77777777" w:rsidR="000D715D" w:rsidRPr="00CC1B91" w:rsidRDefault="000D715D" w:rsidP="000D715D">
      <w:pPr>
        <w:pStyle w:val="ListParagraph"/>
        <w:numPr>
          <w:ilvl w:val="0"/>
          <w:numId w:val="11"/>
        </w:numPr>
        <w:spacing w:after="200" w:line="276" w:lineRule="auto"/>
        <w:rPr>
          <w:rFonts w:ascii="Sylfaen" w:hAnsi="Sylfaen"/>
          <w:lang w:val="ka-GE"/>
        </w:rPr>
      </w:pPr>
      <w:r w:rsidRPr="00CC1B91">
        <w:rPr>
          <w:rFonts w:ascii="Sylfaen" w:hAnsi="Sylfaen"/>
          <w:lang w:val="ka-GE"/>
        </w:rPr>
        <w:t>მოსალოდნელ შედეგებზე.</w:t>
      </w:r>
    </w:p>
    <w:p w14:paraId="5E1848AF" w14:textId="77777777" w:rsidR="000D715D" w:rsidRPr="00CC1B91" w:rsidRDefault="000D715D" w:rsidP="000D715D">
      <w:pPr>
        <w:pStyle w:val="ListParagraph"/>
        <w:numPr>
          <w:ilvl w:val="0"/>
          <w:numId w:val="10"/>
        </w:numPr>
        <w:spacing w:after="200" w:line="276" w:lineRule="auto"/>
        <w:rPr>
          <w:rFonts w:ascii="Sylfaen" w:hAnsi="Sylfaen"/>
          <w:lang w:val="ka-GE"/>
        </w:rPr>
      </w:pPr>
      <w:r w:rsidRPr="00CC1B91">
        <w:rPr>
          <w:rFonts w:ascii="Sylfaen" w:hAnsi="Sylfaen"/>
          <w:lang w:val="ka-GE"/>
        </w:rPr>
        <w:t>მოხალისეთა, თემის, რელიგიურ ლიდერთა მხარდაჭერის მოპოვება საკომუნიკაციო კამპანიის რეალიზებისთვის.</w:t>
      </w:r>
    </w:p>
    <w:p w14:paraId="64A95423" w14:textId="566C0E60" w:rsidR="000D715D" w:rsidRDefault="000D715D" w:rsidP="000D715D">
      <w:pPr>
        <w:pStyle w:val="ListParagraph"/>
        <w:numPr>
          <w:ilvl w:val="0"/>
          <w:numId w:val="10"/>
        </w:numPr>
        <w:spacing w:after="200" w:line="276" w:lineRule="auto"/>
        <w:rPr>
          <w:rFonts w:ascii="Sylfaen" w:hAnsi="Sylfaen"/>
          <w:lang w:val="ka-GE"/>
        </w:rPr>
      </w:pPr>
      <w:r w:rsidRPr="00CC1B91">
        <w:rPr>
          <w:rFonts w:ascii="Sylfaen" w:hAnsi="Sylfaen"/>
          <w:lang w:val="ka-GE"/>
        </w:rPr>
        <w:t>ყველა ჩართული სტრუქტურის</w:t>
      </w:r>
      <w:r w:rsidR="001E34A0">
        <w:rPr>
          <w:rFonts w:ascii="Sylfaen" w:hAnsi="Sylfaen"/>
          <w:lang w:val="ka-GE"/>
        </w:rPr>
        <w:t>, მათ</w:t>
      </w:r>
      <w:r w:rsidRPr="00CC1B91">
        <w:rPr>
          <w:rFonts w:ascii="Sylfaen" w:hAnsi="Sylfaen"/>
          <w:lang w:val="ka-GE"/>
        </w:rPr>
        <w:t xml:space="preserve"> </w:t>
      </w:r>
      <w:r w:rsidR="001E34A0">
        <w:rPr>
          <w:rFonts w:ascii="Sylfaen" w:hAnsi="Sylfaen"/>
          <w:lang w:val="ka-GE"/>
        </w:rPr>
        <w:t xml:space="preserve">შორის ადგილობრივი არასამთავრობო ორგანიზაციების ჩათვლით, </w:t>
      </w:r>
      <w:r w:rsidRPr="00CC1B91">
        <w:rPr>
          <w:rFonts w:ascii="Sylfaen" w:hAnsi="Sylfaen"/>
          <w:lang w:val="ka-GE"/>
        </w:rPr>
        <w:t xml:space="preserve">ურთიერთთანამშრომლობის </w:t>
      </w:r>
      <w:r>
        <w:rPr>
          <w:rFonts w:ascii="Sylfaen" w:hAnsi="Sylfaen"/>
          <w:lang w:val="ka-GE"/>
        </w:rPr>
        <w:t>გაძლიერება</w:t>
      </w:r>
      <w:r w:rsidRPr="00CC1B91">
        <w:rPr>
          <w:rFonts w:ascii="Sylfaen" w:hAnsi="Sylfaen"/>
          <w:lang w:val="ka-GE"/>
        </w:rPr>
        <w:t xml:space="preserve"> ჯანდაცვითი პრობლემების მოგვარების მიზნით: მოსახლეობის მობილიზაციაში ხელშეწყობა კონტაქტების ჯანმრთელობის მდგომარეობის ეფექტური შეფასების მიზნით;</w:t>
      </w:r>
    </w:p>
    <w:p w14:paraId="4F0DB880" w14:textId="77777777" w:rsidR="000D715D" w:rsidRDefault="000D715D" w:rsidP="000D715D">
      <w:pPr>
        <w:pStyle w:val="ListParagraph"/>
        <w:numPr>
          <w:ilvl w:val="0"/>
          <w:numId w:val="10"/>
        </w:numPr>
        <w:spacing w:after="200" w:line="276" w:lineRule="auto"/>
        <w:rPr>
          <w:rFonts w:ascii="Sylfaen" w:hAnsi="Sylfaen"/>
          <w:lang w:val="ka-GE"/>
        </w:rPr>
      </w:pPr>
      <w:r>
        <w:rPr>
          <w:rFonts w:ascii="Sylfaen" w:hAnsi="Sylfaen"/>
          <w:lang w:val="ka-GE"/>
        </w:rPr>
        <w:t>სამხარეო სამსახურის (საზოგადოებრივი ჯანმრთელობის ცენტრი) მიერ:</w:t>
      </w:r>
    </w:p>
    <w:p w14:paraId="5C6BF505" w14:textId="77777777" w:rsidR="000D715D" w:rsidRDefault="000D715D" w:rsidP="001E34A0">
      <w:pPr>
        <w:pStyle w:val="ListParagraph"/>
        <w:spacing w:after="200" w:line="276" w:lineRule="auto"/>
        <w:rPr>
          <w:rFonts w:ascii="Sylfaen" w:hAnsi="Sylfaen"/>
          <w:lang w:val="ka-GE"/>
        </w:rPr>
      </w:pPr>
      <w:r>
        <w:rPr>
          <w:rFonts w:ascii="Sylfaen" w:hAnsi="Sylfaen"/>
          <w:lang w:val="ka-GE"/>
        </w:rPr>
        <w:t>რაიონული სჯც-ების ხელშეწყობა შემთხვევათა მოძიების, აფეთქებათა კვლევის, კონტაქტების იდენტიფიცირების, სინჯების აღების, სინჯების აღების ტექნიკის სწავლების, ეპიდზედამხედველობის სრულყოფილების მონიტორინგის, ერთიანი ელექტრონული ბაზების წარმოების სფეროში.</w:t>
      </w:r>
    </w:p>
    <w:p w14:paraId="4AE19B45" w14:textId="68082720" w:rsidR="000D715D" w:rsidRPr="000D715D" w:rsidRDefault="001E34A0" w:rsidP="000D715D">
      <w:pPr>
        <w:spacing w:after="200" w:line="276" w:lineRule="auto"/>
        <w:rPr>
          <w:rFonts w:ascii="Sylfaen" w:hAnsi="Sylfaen"/>
          <w:lang w:val="ka-GE"/>
        </w:rPr>
      </w:pPr>
      <w:r>
        <w:rPr>
          <w:rFonts w:ascii="Sylfaen" w:hAnsi="Sylfaen"/>
          <w:lang w:val="ka-GE"/>
        </w:rPr>
        <w:lastRenderedPageBreak/>
        <w:t xml:space="preserve">         </w:t>
      </w:r>
      <w:r w:rsidR="000D715D">
        <w:rPr>
          <w:rFonts w:ascii="Sylfaen" w:hAnsi="Sylfaen"/>
          <w:lang w:val="ka-GE"/>
        </w:rPr>
        <w:t xml:space="preserve">მუნიციპალიტეტის/სამხარეო ადმინისტრაციის მიერ ეპიდსიტუაციის განხილვა რისკის შეფასებისა და </w:t>
      </w:r>
      <w:r>
        <w:rPr>
          <w:rFonts w:ascii="Sylfaen" w:hAnsi="Sylfaen"/>
          <w:lang w:val="ka-GE"/>
        </w:rPr>
        <w:t xml:space="preserve">              </w:t>
      </w:r>
      <w:r w:rsidR="000D715D">
        <w:rPr>
          <w:rFonts w:ascii="Sylfaen" w:hAnsi="Sylfaen"/>
          <w:lang w:val="ka-GE"/>
        </w:rPr>
        <w:t>ადექვატური ღონისძიებების დასახვის/აღსრულების მიზნით.</w:t>
      </w:r>
    </w:p>
    <w:p w14:paraId="7F165687" w14:textId="77777777" w:rsidR="000D715D" w:rsidRPr="009B5944" w:rsidRDefault="000D715D" w:rsidP="000D715D">
      <w:pPr>
        <w:rPr>
          <w:rFonts w:ascii="Sylfaen" w:hAnsi="Sylfaen"/>
          <w:b/>
          <w:lang w:val="ka-GE"/>
        </w:rPr>
      </w:pPr>
      <w:r>
        <w:rPr>
          <w:rFonts w:ascii="Sylfaen" w:hAnsi="Sylfaen"/>
          <w:b/>
          <w:lang w:val="ka-GE"/>
        </w:rPr>
        <w:t>ცენტრალური</w:t>
      </w:r>
      <w:r w:rsidRPr="009B5944">
        <w:rPr>
          <w:rFonts w:ascii="Sylfaen" w:hAnsi="Sylfaen"/>
          <w:b/>
          <w:lang w:val="ka-GE"/>
        </w:rPr>
        <w:t xml:space="preserve"> ხელისუფლების დონეზე:</w:t>
      </w:r>
    </w:p>
    <w:p w14:paraId="1702664B" w14:textId="4F2759AE" w:rsidR="000D715D" w:rsidRDefault="000D715D" w:rsidP="000D715D">
      <w:pPr>
        <w:rPr>
          <w:rFonts w:ascii="Sylfaen" w:hAnsi="Sylfaen"/>
          <w:lang w:val="ka-GE"/>
        </w:rPr>
      </w:pPr>
      <w:r>
        <w:rPr>
          <w:rFonts w:ascii="Sylfaen" w:hAnsi="Sylfaen"/>
          <w:lang w:val="ka-GE"/>
        </w:rPr>
        <w:t>სამედიცინო მომსახურების უწყვეტი მიწოდების უზრუნველყოფა: მომსახურების მიმწოდებელთა (პერსონალის) ჩანაცვლების სქემების ამოქმედება; სოფლის ექიმებისა და სასწრაფო დახმარების სამედიცინო პერსონალის  დეფიციტი განსაკუთრებით საგრძნობია თეთრიწყაროსა და ბოლნისის მუნიციპალიტეტებში, რაც აფერხებს ზედამხედველობის სრულფასოვანი ჩატარების შესაძლებლობას. გასაძლიერებელია ჯანდაცვის სამინისტროს წარმომადგენლობითი ვერტიკალური მართვა რეგიონში</w:t>
      </w:r>
      <w:r w:rsidR="001E34A0">
        <w:rPr>
          <w:rFonts w:ascii="Sylfaen" w:hAnsi="Sylfaen"/>
          <w:lang w:val="ka-GE"/>
        </w:rPr>
        <w:t>;</w:t>
      </w:r>
    </w:p>
    <w:p w14:paraId="521AF86D" w14:textId="5B4AE3C1" w:rsidR="000D715D" w:rsidRDefault="000D715D" w:rsidP="000D715D">
      <w:pPr>
        <w:rPr>
          <w:rFonts w:ascii="Sylfaen" w:hAnsi="Sylfaen"/>
          <w:lang w:val="ka-GE"/>
        </w:rPr>
      </w:pPr>
      <w:r>
        <w:rPr>
          <w:rFonts w:ascii="Sylfaen" w:hAnsi="Sylfaen"/>
          <w:lang w:val="ka-GE"/>
        </w:rPr>
        <w:t>პირადი დაცვის საშუალებებით მომარაგების ხელშეწყობა; სამედიცინო პერსონალის მიერ პდს-ს გამოყენება უნდა მოხდეს არსებული რისკების ადექვატურად, რაც მხარდაჭერილი უნდა იყოს მუდმივი განმეორებითი სწავლება-შეხსენებით, რაც დაწესებულებებს უნდა განესაზღვროთ სავალდებულოდ</w:t>
      </w:r>
      <w:r w:rsidR="001E34A0">
        <w:rPr>
          <w:rFonts w:ascii="Sylfaen" w:hAnsi="Sylfaen"/>
          <w:lang w:val="ka-GE"/>
        </w:rPr>
        <w:t>;</w:t>
      </w:r>
    </w:p>
    <w:p w14:paraId="6FB95BBD" w14:textId="003037A1" w:rsidR="000D715D" w:rsidRDefault="000D715D" w:rsidP="000D715D">
      <w:pPr>
        <w:rPr>
          <w:rFonts w:ascii="Sylfaen" w:hAnsi="Sylfaen"/>
          <w:lang w:val="ka-GE"/>
        </w:rPr>
      </w:pPr>
      <w:r>
        <w:rPr>
          <w:rFonts w:ascii="Sylfaen" w:hAnsi="Sylfaen"/>
          <w:lang w:val="ka-GE"/>
        </w:rPr>
        <w:t>მოსახლეობის მიერ გამოყენებადი დაცვის საშუალებების (პირბადე/ნიღაბი) ხელმისაწვდომობის გაზრდა და პრომოცია</w:t>
      </w:r>
      <w:r w:rsidR="001E34A0">
        <w:rPr>
          <w:rFonts w:ascii="Sylfaen" w:hAnsi="Sylfaen"/>
          <w:lang w:val="ka-GE"/>
        </w:rPr>
        <w:t>;</w:t>
      </w:r>
      <w:r>
        <w:rPr>
          <w:rFonts w:ascii="Sylfaen" w:hAnsi="Sylfaen"/>
          <w:lang w:val="ka-GE"/>
        </w:rPr>
        <w:t xml:space="preserve">  </w:t>
      </w:r>
    </w:p>
    <w:p w14:paraId="35016250" w14:textId="77777777" w:rsidR="000D715D" w:rsidRDefault="000D715D" w:rsidP="000D715D">
      <w:pPr>
        <w:rPr>
          <w:rFonts w:ascii="Sylfaen" w:hAnsi="Sylfaen"/>
          <w:lang w:val="ka-GE"/>
        </w:rPr>
      </w:pPr>
      <w:r>
        <w:rPr>
          <w:rFonts w:ascii="Sylfaen" w:hAnsi="Sylfaen"/>
          <w:lang w:val="ka-GE"/>
        </w:rPr>
        <w:t>სოციალური დისტანცირების უნარ-ჩვევების გამომუშავების ხელშეწყობა;</w:t>
      </w:r>
    </w:p>
    <w:p w14:paraId="11256C42" w14:textId="77777777" w:rsidR="000D715D" w:rsidRPr="004516CB" w:rsidRDefault="000D715D" w:rsidP="000D715D">
      <w:pPr>
        <w:rPr>
          <w:rFonts w:ascii="Sylfaen" w:hAnsi="Sylfaen"/>
          <w:lang w:val="ka-GE"/>
        </w:rPr>
      </w:pPr>
      <w:r>
        <w:rPr>
          <w:rFonts w:ascii="Sylfaen" w:hAnsi="Sylfaen"/>
          <w:lang w:val="ka-GE"/>
        </w:rPr>
        <w:t>რეგიონისა და მუნიციპალიტეტების რისკის შეფასების სისტემატური განხილვა ადექვატური ღონისძიებების შემუშავებისა და გატარების მიზნით.</w:t>
      </w:r>
    </w:p>
    <w:p w14:paraId="63B6E79B" w14:textId="77777777" w:rsidR="000D715D" w:rsidRDefault="000D715D" w:rsidP="000D715D">
      <w:pPr>
        <w:rPr>
          <w:rFonts w:ascii="Sylfaen" w:hAnsi="Sylfaen"/>
          <w:lang w:val="ka-GE"/>
        </w:rPr>
      </w:pPr>
    </w:p>
    <w:p w14:paraId="7AE01805" w14:textId="77777777" w:rsidR="000D715D" w:rsidRDefault="000D715D" w:rsidP="000D715D">
      <w:pPr>
        <w:rPr>
          <w:rFonts w:ascii="Sylfaen" w:hAnsi="Sylfaen"/>
          <w:lang w:val="ka-GE"/>
        </w:rPr>
      </w:pPr>
    </w:p>
    <w:p w14:paraId="02067B8B" w14:textId="77777777" w:rsidR="000D715D" w:rsidRPr="00741BCF" w:rsidRDefault="000D715D" w:rsidP="000D715D">
      <w:pPr>
        <w:pStyle w:val="ListParagraph"/>
        <w:numPr>
          <w:ilvl w:val="0"/>
          <w:numId w:val="13"/>
        </w:numPr>
        <w:spacing w:after="200" w:line="276" w:lineRule="auto"/>
        <w:rPr>
          <w:rFonts w:ascii="Sylfaen" w:hAnsi="Sylfaen"/>
          <w:b/>
          <w:lang w:val="ka-GE"/>
        </w:rPr>
      </w:pPr>
      <w:r w:rsidRPr="00741BCF">
        <w:rPr>
          <w:rFonts w:ascii="Sylfaen" w:hAnsi="Sylfaen"/>
          <w:b/>
          <w:lang w:val="ka-GE"/>
        </w:rPr>
        <w:t xml:space="preserve">მსურს მოგახსენოთ ასევე მოსაზრება ერთ მნიშვნელოვან პრობლემასთან დაკავშირებით რაც წარმოიშვა უკანასკნელ პერიოდში კოვიდის ეპიდემიასთან ერთად,  </w:t>
      </w:r>
      <w:r w:rsidRPr="00741BCF">
        <w:rPr>
          <w:rFonts w:ascii="Sylfaen" w:hAnsi="Sylfaen" w:cs="Calibri"/>
          <w:b/>
          <w:lang w:val="ka-GE"/>
        </w:rPr>
        <w:t>ინფექციური პათოლოგიის, შიდსის და კლინიკური იმუნოლოგიის ს/პ ცენტრში სხვა განსაკუთრებულ საშიში ინფექციების სამედიცინო დახმარებასთან, განსაკუთრებით რეანიმაციულის, დაკავშირებით.</w:t>
      </w:r>
    </w:p>
    <w:p w14:paraId="4DBE438F" w14:textId="77777777" w:rsidR="000D715D" w:rsidRDefault="000D715D" w:rsidP="000D715D">
      <w:pPr>
        <w:rPr>
          <w:rFonts w:ascii="Calibri" w:hAnsi="Calibri" w:cs="Calibri"/>
        </w:rPr>
      </w:pPr>
      <w:r>
        <w:rPr>
          <w:rFonts w:ascii="Sylfaen" w:hAnsi="Sylfaen" w:cs="Calibri"/>
          <w:lang w:val="ka-GE"/>
        </w:rPr>
        <w:t>მოგახსენებთ, რომ ინფექციური პათოლოგიის, შიდსის და კლინიკური იმუნოლოგიის ს/პ ცენტრი (შემდგომში ცენტრი) ქვეყანაში განსაკუთრებით საშიში, მძიმე (მათ შორის   ნეიროინფექციებით) და გადამდები ინფექციებით (ყირიმ-კონგოს ცხელება, ბოტულიზმი, ჯილეხი, ლეპტოსპიროზი, დიფთერია, ტეტანუსი, ჰანტავირუსი და სხვა) ავადმყოფების ძირითადი პროვაიდერია და წლების მანძილზე უზრუნველყოფს ამ ავადმყოფების სიკვდილიანობის ევროპაში ერთ-ერთ ყველაზე დაბალ მაჩვენებლებს. ასე მაგალითად, 2012-2018 წლებში ცენტრს გატარებული ჰყავს ყირიმ-კონგოს ცხელებით 63 ავადმყოფი, მათგან მხოლოდ 7 გარდაიცვალა (ლეტალობა 11.1%), მაშინ როდესაც მსოფლიოში ამ დაავადებით გამოწვეული ლეტალობა საშუალოდ 10-დან 30%-მდეა. ცენტრი აგრეთვე ქვეყანაში ბაქტერიული და ვირუსული ნეიროინფექციების ძირითადი პროვაიდერია.  </w:t>
      </w:r>
    </w:p>
    <w:p w14:paraId="1732AA68" w14:textId="77777777" w:rsidR="000D715D" w:rsidRDefault="000D715D" w:rsidP="000D715D">
      <w:pPr>
        <w:rPr>
          <w:rFonts w:ascii="Sylfaen" w:hAnsi="Sylfaen" w:cs="Calibri"/>
          <w:lang w:val="ka-GE"/>
        </w:rPr>
      </w:pPr>
      <w:r>
        <w:rPr>
          <w:rFonts w:ascii="Sylfaen" w:hAnsi="Sylfaen" w:cs="Calibri"/>
          <w:lang w:val="ka-GE"/>
        </w:rPr>
        <w:t>აღნიშნული ავადმყოფები ხშირად საჭიროებენ ინტენსიური თერაპიის ღონისძიებებს და მოთავსებას სარეანიმაციო განყოფილებაში.  </w:t>
      </w:r>
    </w:p>
    <w:p w14:paraId="0DC02004" w14:textId="77777777" w:rsidR="000D715D" w:rsidRDefault="000D715D" w:rsidP="000D715D">
      <w:pPr>
        <w:rPr>
          <w:rFonts w:ascii="Calibri" w:hAnsi="Calibri" w:cs="Calibri"/>
        </w:rPr>
      </w:pPr>
      <w:r>
        <w:rPr>
          <w:rFonts w:ascii="Sylfaen" w:hAnsi="Sylfaen" w:cs="Calibri"/>
          <w:lang w:val="ka-GE"/>
        </w:rPr>
        <w:t xml:space="preserve">ამჟამად ცენტრის რეანიმაცია დაკავებულია </w:t>
      </w:r>
      <w:r>
        <w:rPr>
          <w:rFonts w:ascii="Sylfaen" w:hAnsi="Sylfaen" w:cs="Calibri"/>
        </w:rPr>
        <w:t>COVID-19-</w:t>
      </w:r>
      <w:r>
        <w:rPr>
          <w:rFonts w:ascii="Sylfaen" w:hAnsi="Sylfaen" w:cs="Calibri"/>
          <w:lang w:val="ka-GE"/>
        </w:rPr>
        <w:t>ით კრიტიკული ავადმყოფებით, რის გამოც ცენტრი ვერ იღებს განსაკუთრებით საშიში და მძიმე ინფექციებით ავადმყოფებს.  </w:t>
      </w:r>
    </w:p>
    <w:p w14:paraId="6C5BB168" w14:textId="54D2C453" w:rsidR="000D715D" w:rsidRDefault="000D715D" w:rsidP="000D715D">
      <w:pPr>
        <w:rPr>
          <w:rFonts w:ascii="Calibri" w:hAnsi="Calibri" w:cs="Calibri"/>
        </w:rPr>
      </w:pPr>
      <w:r>
        <w:rPr>
          <w:rFonts w:ascii="Sylfaen" w:hAnsi="Sylfaen" w:cs="Calibri"/>
          <w:lang w:val="ka-GE"/>
        </w:rPr>
        <w:lastRenderedPageBreak/>
        <w:t>ბოლო დღეებში ქვეყანაში დაფიქსირდა ყირიმ-კონგოს ჰემორაგიული ცხელების შემთხვევები, რამაც პრობლემები შექმნა. სეზონურობის გათვალისწინებით მოსალოდნელია აღნიშნული დაავადებების (ყირიმ-კონგოს ცხელება, ჰანტავირუსული ინფექცია, ჯილეხი, ბოტულიზმი და სხვ.) შემთხვევების მატება.  </w:t>
      </w:r>
    </w:p>
    <w:p w14:paraId="14B1CC0F" w14:textId="77777777" w:rsidR="000D715D" w:rsidRDefault="000D715D" w:rsidP="000D715D">
      <w:pPr>
        <w:rPr>
          <w:rFonts w:ascii="Calibri" w:hAnsi="Calibri" w:cs="Calibri"/>
        </w:rPr>
      </w:pPr>
      <w:r>
        <w:rPr>
          <w:rFonts w:ascii="Sylfaen" w:hAnsi="Sylfaen" w:cs="Calibri"/>
          <w:lang w:val="ka-GE"/>
        </w:rPr>
        <w:t xml:space="preserve">ზემოთაღნიშნულის გათვალისწინებით, ალბათ მიზანშეწონილია, რომ </w:t>
      </w:r>
      <w:r>
        <w:rPr>
          <w:rFonts w:ascii="Sylfaen" w:hAnsi="Sylfaen" w:cs="Calibri"/>
        </w:rPr>
        <w:t>COVID-19</w:t>
      </w:r>
      <w:r>
        <w:rPr>
          <w:rFonts w:ascii="Sylfaen" w:hAnsi="Sylfaen" w:cs="Calibri"/>
          <w:lang w:val="ka-GE"/>
        </w:rPr>
        <w:t xml:space="preserve">-ით კრიტიკული ავადმყოფები გატარდეს ქალაქის სხვა </w:t>
      </w:r>
      <w:r>
        <w:rPr>
          <w:rFonts w:ascii="Sylfaen" w:hAnsi="Sylfaen" w:cs="Calibri"/>
        </w:rPr>
        <w:t>COVID-19</w:t>
      </w:r>
      <w:r>
        <w:rPr>
          <w:rFonts w:ascii="Sylfaen" w:hAnsi="Sylfaen" w:cs="Calibri"/>
          <w:lang w:val="ka-GE"/>
        </w:rPr>
        <w:t>-ის ცენტრების რეანიმაციულ განყოფილებებში (ამის საკმარისი რესურსი არსებობს). ხოლო ინფექციური პათოლოგიის და შიდსის ცენტრის რეანიმაცია მოემსახუროს სხვადასხვა განსაკუთრებით საშიში</w:t>
      </w:r>
      <w:r>
        <w:rPr>
          <w:rFonts w:ascii="Sylfaen" w:hAnsi="Sylfaen" w:cs="Calibri"/>
        </w:rPr>
        <w:t xml:space="preserve">, </w:t>
      </w:r>
      <w:r>
        <w:rPr>
          <w:rFonts w:ascii="Sylfaen" w:hAnsi="Sylfaen" w:cs="Calibri"/>
          <w:lang w:val="ka-GE"/>
        </w:rPr>
        <w:t>მძიმე (მათ შორის ნეიროინფექციებით) და გადამდები ინფექციებით ავადმყოფებს, რომელთა მართვის გამოცდილება სხვა კლინიკებს ნაკლები აქვთ.    </w:t>
      </w:r>
      <w:r>
        <w:rPr>
          <w:rFonts w:ascii="Sylfaen" w:hAnsi="Sylfaen" w:cs="Calibri"/>
        </w:rPr>
        <w:t>   </w:t>
      </w:r>
    </w:p>
    <w:p w14:paraId="03EE16DF" w14:textId="77777777" w:rsidR="000D715D" w:rsidRPr="000F3638" w:rsidRDefault="000D715D" w:rsidP="000D715D">
      <w:pPr>
        <w:rPr>
          <w:rFonts w:ascii="Sylfaen" w:hAnsi="Sylfaen"/>
          <w:lang w:val="ka-GE"/>
        </w:rPr>
      </w:pPr>
    </w:p>
    <w:p w14:paraId="5FF01E0F" w14:textId="77777777" w:rsidR="000D715D" w:rsidRPr="00CC1B91" w:rsidRDefault="000D715D" w:rsidP="000D715D">
      <w:pPr>
        <w:rPr>
          <w:rFonts w:ascii="Sylfaen" w:hAnsi="Sylfaen"/>
          <w:lang w:val="ka-GE"/>
        </w:rPr>
      </w:pPr>
    </w:p>
    <w:p w14:paraId="31817283" w14:textId="77777777" w:rsidR="00E54D98" w:rsidRPr="00B51262" w:rsidRDefault="00E54D98" w:rsidP="00B51262">
      <w:pPr>
        <w:rPr>
          <w:rFonts w:ascii="Sylfaen" w:hAnsi="Sylfaen"/>
          <w:sz w:val="24"/>
          <w:lang w:val="ka-GE"/>
        </w:rPr>
      </w:pPr>
    </w:p>
    <w:sectPr w:rsidR="00E54D98" w:rsidRPr="00B51262" w:rsidSect="002E2DC1">
      <w:pgSz w:w="12240" w:h="15840"/>
      <w:pgMar w:top="630" w:right="36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87C89"/>
    <w:multiLevelType w:val="hybridMultilevel"/>
    <w:tmpl w:val="D676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CD0AA7"/>
    <w:multiLevelType w:val="hybridMultilevel"/>
    <w:tmpl w:val="ACBA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B5664B"/>
    <w:multiLevelType w:val="hybridMultilevel"/>
    <w:tmpl w:val="15A0DD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C96C76"/>
    <w:multiLevelType w:val="hybridMultilevel"/>
    <w:tmpl w:val="18F0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2"/>
  </w:num>
  <w:num w:numId="5">
    <w:abstractNumId w:val="0"/>
  </w:num>
  <w:num w:numId="6">
    <w:abstractNumId w:val="6"/>
  </w:num>
  <w:num w:numId="7">
    <w:abstractNumId w:val="9"/>
  </w:num>
  <w:num w:numId="8">
    <w:abstractNumId w:val="7"/>
  </w:num>
  <w:num w:numId="9">
    <w:abstractNumId w:val="4"/>
  </w:num>
  <w:num w:numId="10">
    <w:abstractNumId w:val="3"/>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D715D"/>
    <w:rsid w:val="000E3A57"/>
    <w:rsid w:val="000E41E8"/>
    <w:rsid w:val="000E5391"/>
    <w:rsid w:val="00100117"/>
    <w:rsid w:val="00101D27"/>
    <w:rsid w:val="001066E5"/>
    <w:rsid w:val="00114223"/>
    <w:rsid w:val="00122BD9"/>
    <w:rsid w:val="00123412"/>
    <w:rsid w:val="00123AAA"/>
    <w:rsid w:val="00123C7D"/>
    <w:rsid w:val="001266BE"/>
    <w:rsid w:val="00132979"/>
    <w:rsid w:val="00136266"/>
    <w:rsid w:val="00155C3B"/>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4A0"/>
    <w:rsid w:val="001E3E2B"/>
    <w:rsid w:val="001E7567"/>
    <w:rsid w:val="001F50D3"/>
    <w:rsid w:val="002011B2"/>
    <w:rsid w:val="00204FD7"/>
    <w:rsid w:val="00213366"/>
    <w:rsid w:val="002213A1"/>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7F3A"/>
    <w:rsid w:val="00321B18"/>
    <w:rsid w:val="00354216"/>
    <w:rsid w:val="003543DC"/>
    <w:rsid w:val="0036277A"/>
    <w:rsid w:val="00373DD0"/>
    <w:rsid w:val="00382CA8"/>
    <w:rsid w:val="0038500E"/>
    <w:rsid w:val="00390163"/>
    <w:rsid w:val="0039167B"/>
    <w:rsid w:val="00392660"/>
    <w:rsid w:val="00396491"/>
    <w:rsid w:val="003B3FCE"/>
    <w:rsid w:val="003D0EA4"/>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972"/>
    <w:rsid w:val="004C002B"/>
    <w:rsid w:val="004C2729"/>
    <w:rsid w:val="004C3FB7"/>
    <w:rsid w:val="004C7D25"/>
    <w:rsid w:val="004D34D5"/>
    <w:rsid w:val="004D6116"/>
    <w:rsid w:val="004D7ECF"/>
    <w:rsid w:val="004E7E66"/>
    <w:rsid w:val="004F4380"/>
    <w:rsid w:val="004F7B06"/>
    <w:rsid w:val="005100F3"/>
    <w:rsid w:val="005124BB"/>
    <w:rsid w:val="00526DC4"/>
    <w:rsid w:val="005330AD"/>
    <w:rsid w:val="005442A1"/>
    <w:rsid w:val="005459AE"/>
    <w:rsid w:val="00557EFF"/>
    <w:rsid w:val="00565F14"/>
    <w:rsid w:val="005705C5"/>
    <w:rsid w:val="00575B13"/>
    <w:rsid w:val="0057760E"/>
    <w:rsid w:val="0057782F"/>
    <w:rsid w:val="00580C7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5C80"/>
    <w:rsid w:val="00620F03"/>
    <w:rsid w:val="00623525"/>
    <w:rsid w:val="006315AC"/>
    <w:rsid w:val="00632747"/>
    <w:rsid w:val="00632D39"/>
    <w:rsid w:val="006348C5"/>
    <w:rsid w:val="00643BAC"/>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C7884"/>
    <w:rsid w:val="007C7CFB"/>
    <w:rsid w:val="007D66A6"/>
    <w:rsid w:val="007E388A"/>
    <w:rsid w:val="007E7CE6"/>
    <w:rsid w:val="007F70CB"/>
    <w:rsid w:val="008003F1"/>
    <w:rsid w:val="0080506E"/>
    <w:rsid w:val="00805C2F"/>
    <w:rsid w:val="008103E9"/>
    <w:rsid w:val="008113ED"/>
    <w:rsid w:val="00812259"/>
    <w:rsid w:val="00814B95"/>
    <w:rsid w:val="00817BEF"/>
    <w:rsid w:val="00817CBD"/>
    <w:rsid w:val="00820032"/>
    <w:rsid w:val="00822FCC"/>
    <w:rsid w:val="0084149D"/>
    <w:rsid w:val="00843B62"/>
    <w:rsid w:val="00852279"/>
    <w:rsid w:val="00862197"/>
    <w:rsid w:val="0087034E"/>
    <w:rsid w:val="00873008"/>
    <w:rsid w:val="00890638"/>
    <w:rsid w:val="00890B3E"/>
    <w:rsid w:val="008A2064"/>
    <w:rsid w:val="008B1149"/>
    <w:rsid w:val="008B24C6"/>
    <w:rsid w:val="008B563D"/>
    <w:rsid w:val="008D1766"/>
    <w:rsid w:val="008E0F76"/>
    <w:rsid w:val="008E2A28"/>
    <w:rsid w:val="008E6819"/>
    <w:rsid w:val="008E68F0"/>
    <w:rsid w:val="008E7011"/>
    <w:rsid w:val="008F0BC4"/>
    <w:rsid w:val="008F70A8"/>
    <w:rsid w:val="008F72C4"/>
    <w:rsid w:val="00906DD8"/>
    <w:rsid w:val="00911312"/>
    <w:rsid w:val="00911F07"/>
    <w:rsid w:val="009321BF"/>
    <w:rsid w:val="00934969"/>
    <w:rsid w:val="00940B7A"/>
    <w:rsid w:val="0094121D"/>
    <w:rsid w:val="00943387"/>
    <w:rsid w:val="009433CC"/>
    <w:rsid w:val="00956820"/>
    <w:rsid w:val="00960117"/>
    <w:rsid w:val="00966B0D"/>
    <w:rsid w:val="00967EBF"/>
    <w:rsid w:val="009709DB"/>
    <w:rsid w:val="00985992"/>
    <w:rsid w:val="0098614F"/>
    <w:rsid w:val="00993221"/>
    <w:rsid w:val="00994E26"/>
    <w:rsid w:val="009B78BF"/>
    <w:rsid w:val="009D2910"/>
    <w:rsid w:val="009E309C"/>
    <w:rsid w:val="009E397D"/>
    <w:rsid w:val="009F3E5E"/>
    <w:rsid w:val="00A073EA"/>
    <w:rsid w:val="00A13A74"/>
    <w:rsid w:val="00A16A3F"/>
    <w:rsid w:val="00A17366"/>
    <w:rsid w:val="00A20B6E"/>
    <w:rsid w:val="00A25C54"/>
    <w:rsid w:val="00A37B60"/>
    <w:rsid w:val="00A40B48"/>
    <w:rsid w:val="00A46917"/>
    <w:rsid w:val="00A575AD"/>
    <w:rsid w:val="00A576EC"/>
    <w:rsid w:val="00A662C5"/>
    <w:rsid w:val="00A727EB"/>
    <w:rsid w:val="00A73955"/>
    <w:rsid w:val="00A761A1"/>
    <w:rsid w:val="00A7623C"/>
    <w:rsid w:val="00A8417A"/>
    <w:rsid w:val="00A87A2A"/>
    <w:rsid w:val="00A91F0F"/>
    <w:rsid w:val="00A93F2A"/>
    <w:rsid w:val="00A95864"/>
    <w:rsid w:val="00A95BE4"/>
    <w:rsid w:val="00AA05AB"/>
    <w:rsid w:val="00AB1ACB"/>
    <w:rsid w:val="00AB3020"/>
    <w:rsid w:val="00AB40AC"/>
    <w:rsid w:val="00AB6722"/>
    <w:rsid w:val="00AC1E76"/>
    <w:rsid w:val="00AC3970"/>
    <w:rsid w:val="00AC3A4E"/>
    <w:rsid w:val="00AC7DFD"/>
    <w:rsid w:val="00AE52D5"/>
    <w:rsid w:val="00AF00B0"/>
    <w:rsid w:val="00AF04D8"/>
    <w:rsid w:val="00B022AD"/>
    <w:rsid w:val="00B12887"/>
    <w:rsid w:val="00B16823"/>
    <w:rsid w:val="00B20AA3"/>
    <w:rsid w:val="00B4197E"/>
    <w:rsid w:val="00B42A45"/>
    <w:rsid w:val="00B430C4"/>
    <w:rsid w:val="00B51262"/>
    <w:rsid w:val="00B804C2"/>
    <w:rsid w:val="00B82C9B"/>
    <w:rsid w:val="00B843ED"/>
    <w:rsid w:val="00B85690"/>
    <w:rsid w:val="00B93FB9"/>
    <w:rsid w:val="00B97CB9"/>
    <w:rsid w:val="00BA0C7C"/>
    <w:rsid w:val="00BA4D43"/>
    <w:rsid w:val="00BB04F3"/>
    <w:rsid w:val="00BB37B7"/>
    <w:rsid w:val="00BC1BC6"/>
    <w:rsid w:val="00BD4F1C"/>
    <w:rsid w:val="00BE1603"/>
    <w:rsid w:val="00BE3607"/>
    <w:rsid w:val="00BF0D55"/>
    <w:rsid w:val="00C05535"/>
    <w:rsid w:val="00C14D18"/>
    <w:rsid w:val="00C21ABF"/>
    <w:rsid w:val="00C25F4D"/>
    <w:rsid w:val="00C517C6"/>
    <w:rsid w:val="00C56014"/>
    <w:rsid w:val="00C60474"/>
    <w:rsid w:val="00C706B6"/>
    <w:rsid w:val="00C7140C"/>
    <w:rsid w:val="00C71B07"/>
    <w:rsid w:val="00C73095"/>
    <w:rsid w:val="00C745FA"/>
    <w:rsid w:val="00C919E2"/>
    <w:rsid w:val="00C92A28"/>
    <w:rsid w:val="00CA5D91"/>
    <w:rsid w:val="00CB1F6E"/>
    <w:rsid w:val="00CD58B0"/>
    <w:rsid w:val="00CE1D48"/>
    <w:rsid w:val="00CF0E0A"/>
    <w:rsid w:val="00CF17F1"/>
    <w:rsid w:val="00CF4330"/>
    <w:rsid w:val="00CF7AA6"/>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E006D"/>
    <w:rsid w:val="00DF1435"/>
    <w:rsid w:val="00DF18FA"/>
    <w:rsid w:val="00DF7F93"/>
    <w:rsid w:val="00E118EB"/>
    <w:rsid w:val="00E22655"/>
    <w:rsid w:val="00E3190E"/>
    <w:rsid w:val="00E34A3B"/>
    <w:rsid w:val="00E43FB9"/>
    <w:rsid w:val="00E440C4"/>
    <w:rsid w:val="00E53FEB"/>
    <w:rsid w:val="00E54D98"/>
    <w:rsid w:val="00E5563F"/>
    <w:rsid w:val="00E67F40"/>
    <w:rsid w:val="00E73ADF"/>
    <w:rsid w:val="00E75F16"/>
    <w:rsid w:val="00E77101"/>
    <w:rsid w:val="00E8727C"/>
    <w:rsid w:val="00E93979"/>
    <w:rsid w:val="00E957EF"/>
    <w:rsid w:val="00EB0DB4"/>
    <w:rsid w:val="00EC2D3B"/>
    <w:rsid w:val="00EC34A9"/>
    <w:rsid w:val="00ED0B04"/>
    <w:rsid w:val="00EE0F0F"/>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86B29"/>
    <w:rsid w:val="00F912AE"/>
    <w:rsid w:val="00FB0A71"/>
    <w:rsid w:val="00FB1C7C"/>
    <w:rsid w:val="00FB2446"/>
    <w:rsid w:val="00FB2DD1"/>
    <w:rsid w:val="00FB5DE4"/>
    <w:rsid w:val="00FC0382"/>
    <w:rsid w:val="00FD06AC"/>
    <w:rsid w:val="00FD0F4F"/>
    <w:rsid w:val="00FE1EF6"/>
    <w:rsid w:val="00FE1F6E"/>
    <w:rsid w:val="00FE64E5"/>
    <w:rsid w:val="00FE6C9E"/>
    <w:rsid w:val="00F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401862797075551E-2"/>
          <c:y val="0.12357335529750779"/>
          <c:w val="0.94514301578424309"/>
          <c:h val="0.74189397345987895"/>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Sheet1!$A$2:$A$69</c:f>
              <c:numCache>
                <c:formatCode>d\-mmm</c:formatCode>
                <c:ptCount val="68"/>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pt idx="55">
                  <c:v>43942</c:v>
                </c:pt>
                <c:pt idx="56">
                  <c:v>43943</c:v>
                </c:pt>
                <c:pt idx="57">
                  <c:v>43944</c:v>
                </c:pt>
                <c:pt idx="58">
                  <c:v>43945</c:v>
                </c:pt>
                <c:pt idx="59">
                  <c:v>43946</c:v>
                </c:pt>
                <c:pt idx="60">
                  <c:v>43947</c:v>
                </c:pt>
                <c:pt idx="61">
                  <c:v>43948</c:v>
                </c:pt>
                <c:pt idx="62">
                  <c:v>43949</c:v>
                </c:pt>
                <c:pt idx="63">
                  <c:v>43950</c:v>
                </c:pt>
                <c:pt idx="64">
                  <c:v>43951</c:v>
                </c:pt>
                <c:pt idx="65">
                  <c:v>43952</c:v>
                </c:pt>
                <c:pt idx="66">
                  <c:v>43953</c:v>
                </c:pt>
                <c:pt idx="67">
                  <c:v>43954</c:v>
                </c:pt>
              </c:numCache>
            </c:numRef>
          </c:cat>
          <c:val>
            <c:numRef>
              <c:f>Sheet1!$B$2:$B$69</c:f>
              <c:numCache>
                <c:formatCode>General</c:formatCode>
                <c:ptCount val="68"/>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pt idx="40">
                  <c:v>7</c:v>
                </c:pt>
                <c:pt idx="41">
                  <c:v>13</c:v>
                </c:pt>
                <c:pt idx="42">
                  <c:v>6</c:v>
                </c:pt>
                <c:pt idx="43">
                  <c:v>13</c:v>
                </c:pt>
                <c:pt idx="44">
                  <c:v>6</c:v>
                </c:pt>
                <c:pt idx="45">
                  <c:v>19</c:v>
                </c:pt>
                <c:pt idx="46">
                  <c:v>14</c:v>
                </c:pt>
                <c:pt idx="47">
                  <c:v>30</c:v>
                </c:pt>
                <c:pt idx="48">
                  <c:v>10</c:v>
                </c:pt>
                <c:pt idx="49">
                  <c:v>30</c:v>
                </c:pt>
                <c:pt idx="50">
                  <c:v>34</c:v>
                </c:pt>
                <c:pt idx="51">
                  <c:v>15</c:v>
                </c:pt>
                <c:pt idx="52">
                  <c:v>9</c:v>
                </c:pt>
                <c:pt idx="53">
                  <c:v>5</c:v>
                </c:pt>
                <c:pt idx="54">
                  <c:v>9</c:v>
                </c:pt>
                <c:pt idx="55">
                  <c:v>3</c:v>
                </c:pt>
                <c:pt idx="56">
                  <c:v>9</c:v>
                </c:pt>
                <c:pt idx="57">
                  <c:v>11</c:v>
                </c:pt>
                <c:pt idx="58">
                  <c:v>25</c:v>
                </c:pt>
                <c:pt idx="59">
                  <c:v>29</c:v>
                </c:pt>
                <c:pt idx="60">
                  <c:v>11</c:v>
                </c:pt>
                <c:pt idx="61">
                  <c:v>15</c:v>
                </c:pt>
                <c:pt idx="62">
                  <c:v>6</c:v>
                </c:pt>
                <c:pt idx="63">
                  <c:v>22</c:v>
                </c:pt>
                <c:pt idx="64">
                  <c:v>27</c:v>
                </c:pt>
                <c:pt idx="65">
                  <c:v>16</c:v>
                </c:pt>
                <c:pt idx="66">
                  <c:v>7</c:v>
                </c:pt>
                <c:pt idx="67">
                  <c:v>4</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1952218224"/>
        <c:axId val="-1868152736"/>
      </c:barChart>
      <c:lineChart>
        <c:grouping val="standard"/>
        <c:varyColors val="0"/>
        <c:ser>
          <c:idx val="1"/>
          <c:order val="1"/>
          <c:tx>
            <c:strRef>
              <c:f>Sheet1!$C$1</c:f>
              <c:strCache>
                <c:ptCount val="1"/>
                <c:pt idx="0">
                  <c:v>კუმულაციური რ-ობა</c:v>
                </c:pt>
              </c:strCache>
            </c:strRef>
          </c:tx>
          <c:marker>
            <c:symbol val="none"/>
          </c:marker>
          <c:dLbls>
            <c:dLbl>
              <c:idx val="61"/>
              <c:dLblPos val="t"/>
              <c:showLegendKey val="0"/>
              <c:showVal val="1"/>
              <c:showCatName val="0"/>
              <c:showSerName val="0"/>
              <c:showPercent val="0"/>
              <c:showBubbleSize val="0"/>
              <c:extLst>
                <c:ext xmlns:c15="http://schemas.microsoft.com/office/drawing/2012/chart" uri="{CE6537A1-D6FC-4f65-9D91-7224C49458BB}"/>
              </c:extLst>
            </c:dLbl>
            <c:dLbl>
              <c:idx val="62"/>
              <c:spPr>
                <a:noFill/>
                <a:ln>
                  <a:noFill/>
                </a:ln>
                <a:effectLst/>
              </c:spPr>
              <c:txPr>
                <a:bodyPr rot="1620000" wrap="square" lIns="38100" tIns="19050" rIns="38100" bIns="19050" anchor="ctr">
                  <a:spAutoFit/>
                </a:bodyPr>
                <a:lstStyle/>
                <a:p>
                  <a:pPr>
                    <a:defRPr sz="800"/>
                  </a:pPr>
                  <a:endParaRPr lang="en-US"/>
                </a:p>
              </c:txPr>
              <c:dLblPos val="t"/>
              <c:showLegendKey val="0"/>
              <c:showVal val="1"/>
              <c:showCatName val="0"/>
              <c:showSerName val="0"/>
              <c:showPercent val="0"/>
              <c:showBubbleSize val="0"/>
              <c:extLst>
                <c:ext xmlns:c15="http://schemas.microsoft.com/office/drawing/2012/chart" uri="{CE6537A1-D6FC-4f65-9D91-7224C49458BB}"/>
              </c:extLst>
            </c:dLbl>
            <c:dLbl>
              <c:idx val="63"/>
              <c:layout>
                <c:manualLayout>
                  <c:x val="-1.5143767876895687E-2"/>
                  <c:y val="-5.0926613610044386E-2"/>
                </c:manualLayout>
              </c:layout>
              <c:spPr>
                <a:noFill/>
                <a:ln>
                  <a:noFill/>
                </a:ln>
                <a:effectLst/>
              </c:spPr>
              <c:txPr>
                <a:bodyPr rot="1620000" wrap="square" lIns="38100" tIns="19050" rIns="38100" bIns="19050" anchor="ctr">
                  <a:spAutoFit/>
                </a:bodyPr>
                <a:lstStyle/>
                <a:p>
                  <a:pPr>
                    <a:defRPr sz="800"/>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64"/>
              <c:dLblPos val="t"/>
              <c:showLegendKey val="0"/>
              <c:showVal val="1"/>
              <c:showCatName val="0"/>
              <c:showSerName val="0"/>
              <c:showPercent val="0"/>
              <c:showBubbleSize val="0"/>
              <c:extLst>
                <c:ext xmlns:c15="http://schemas.microsoft.com/office/drawing/2012/chart" uri="{CE6537A1-D6FC-4f65-9D91-7224C49458BB}"/>
              </c:extLst>
            </c:dLbl>
            <c:dLbl>
              <c:idx val="65"/>
              <c:dLblPos val="t"/>
              <c:showLegendKey val="0"/>
              <c:showVal val="1"/>
              <c:showCatName val="0"/>
              <c:showSerName val="0"/>
              <c:showPercent val="0"/>
              <c:showBubbleSize val="0"/>
              <c:extLst>
                <c:ext xmlns:c15="http://schemas.microsoft.com/office/drawing/2012/chart" uri="{CE6537A1-D6FC-4f65-9D91-7224C49458BB}"/>
              </c:extLst>
            </c:dLbl>
            <c:dLbl>
              <c:idx val="66"/>
              <c:spPr>
                <a:noFill/>
                <a:ln>
                  <a:noFill/>
                </a:ln>
                <a:effectLst/>
              </c:spPr>
              <c:txPr>
                <a:bodyPr rot="1620000" wrap="square" lIns="38100" tIns="19050" rIns="38100" bIns="19050" anchor="ctr">
                  <a:spAutoFit/>
                </a:bodyPr>
                <a:lstStyle/>
                <a:p>
                  <a:pPr>
                    <a:defRPr sz="800"/>
                  </a:pPr>
                  <a:endParaRPr lang="en-US"/>
                </a:p>
              </c:txPr>
              <c:dLblPos val="t"/>
              <c:showLegendKey val="0"/>
              <c:showVal val="1"/>
              <c:showCatName val="0"/>
              <c:showSerName val="0"/>
              <c:showPercent val="0"/>
              <c:showBubbleSize val="0"/>
              <c:extLst>
                <c:ext xmlns:c15="http://schemas.microsoft.com/office/drawing/2012/chart" uri="{CE6537A1-D6FC-4f65-9D91-7224C49458BB}"/>
              </c:extLst>
            </c:dLbl>
            <c:dLbl>
              <c:idx val="67"/>
              <c:layout>
                <c:manualLayout>
                  <c:x val="0"/>
                  <c:y val="-5.8210928819413893E-2"/>
                </c:manualLayout>
              </c:layout>
              <c:spPr>
                <a:noFill/>
                <a:ln>
                  <a:noFill/>
                </a:ln>
                <a:effectLst/>
              </c:spPr>
              <c:txPr>
                <a:bodyPr rot="1620000" wrap="square" lIns="38100" tIns="19050" rIns="38100" bIns="19050" anchor="ctr">
                  <a:spAutoFit/>
                </a:bodyPr>
                <a:lstStyle/>
                <a:p>
                  <a:pPr>
                    <a:defRPr sz="1050"/>
                  </a:pPr>
                  <a:endParaRPr lang="en-US"/>
                </a:p>
              </c:txPr>
              <c:dLblPos val="r"/>
              <c:showLegendKey val="0"/>
              <c:showVal val="1"/>
              <c:showCatName val="0"/>
              <c:showSerName val="0"/>
              <c:showPercent val="0"/>
              <c:showBubbleSize val="0"/>
              <c:separator> </c:separator>
              <c:extLst>
                <c:ext xmlns:c15="http://schemas.microsoft.com/office/drawing/2012/chart" uri="{CE6537A1-D6FC-4f65-9D91-7224C49458BB}"/>
              </c:extLst>
            </c:dLbl>
            <c:spPr>
              <a:noFill/>
              <a:ln>
                <a:noFill/>
              </a:ln>
              <a:effectLst/>
            </c:spPr>
            <c:txPr>
              <a:bodyPr rot="1620000" wrap="square" lIns="38100" tIns="19050" rIns="38100" bIns="19050" anchor="ctr">
                <a:spAutoFit/>
              </a:bodyPr>
              <a:lstStyle/>
              <a:p>
                <a:pPr>
                  <a:defRPr sz="700"/>
                </a:pPr>
                <a:endParaRPr lang="en-US"/>
              </a:p>
            </c:txPr>
            <c:dLblPos val="t"/>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ext>
            </c:extLst>
          </c:dLbls>
          <c:cat>
            <c:numRef>
              <c:f>Sheet1!$A$2:$A$69</c:f>
              <c:numCache>
                <c:formatCode>d\-mmm</c:formatCode>
                <c:ptCount val="68"/>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pt idx="55">
                  <c:v>43942</c:v>
                </c:pt>
                <c:pt idx="56">
                  <c:v>43943</c:v>
                </c:pt>
                <c:pt idx="57">
                  <c:v>43944</c:v>
                </c:pt>
                <c:pt idx="58">
                  <c:v>43945</c:v>
                </c:pt>
                <c:pt idx="59">
                  <c:v>43946</c:v>
                </c:pt>
                <c:pt idx="60">
                  <c:v>43947</c:v>
                </c:pt>
                <c:pt idx="61">
                  <c:v>43948</c:v>
                </c:pt>
                <c:pt idx="62">
                  <c:v>43949</c:v>
                </c:pt>
                <c:pt idx="63">
                  <c:v>43950</c:v>
                </c:pt>
                <c:pt idx="64">
                  <c:v>43951</c:v>
                </c:pt>
                <c:pt idx="65">
                  <c:v>43952</c:v>
                </c:pt>
                <c:pt idx="66">
                  <c:v>43953</c:v>
                </c:pt>
                <c:pt idx="67">
                  <c:v>43954</c:v>
                </c:pt>
              </c:numCache>
            </c:numRef>
          </c:cat>
          <c:val>
            <c:numRef>
              <c:f>Sheet1!$C$2:$C$69</c:f>
              <c:numCache>
                <c:formatCode>General</c:formatCode>
                <c:ptCount val="68"/>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pt idx="40">
                  <c:v>195</c:v>
                </c:pt>
                <c:pt idx="41">
                  <c:v>208</c:v>
                </c:pt>
                <c:pt idx="42">
                  <c:v>214</c:v>
                </c:pt>
                <c:pt idx="43">
                  <c:v>227</c:v>
                </c:pt>
                <c:pt idx="44">
                  <c:v>233</c:v>
                </c:pt>
                <c:pt idx="45">
                  <c:v>252</c:v>
                </c:pt>
                <c:pt idx="46">
                  <c:v>266</c:v>
                </c:pt>
                <c:pt idx="47">
                  <c:v>296</c:v>
                </c:pt>
                <c:pt idx="48">
                  <c:v>306</c:v>
                </c:pt>
                <c:pt idx="49">
                  <c:v>336</c:v>
                </c:pt>
                <c:pt idx="50">
                  <c:v>370</c:v>
                </c:pt>
                <c:pt idx="51">
                  <c:v>385</c:v>
                </c:pt>
                <c:pt idx="52">
                  <c:v>394</c:v>
                </c:pt>
                <c:pt idx="53">
                  <c:v>399</c:v>
                </c:pt>
                <c:pt idx="54">
                  <c:v>408</c:v>
                </c:pt>
                <c:pt idx="55">
                  <c:v>411</c:v>
                </c:pt>
                <c:pt idx="56">
                  <c:v>420</c:v>
                </c:pt>
                <c:pt idx="57">
                  <c:v>431</c:v>
                </c:pt>
                <c:pt idx="58">
                  <c:v>456</c:v>
                </c:pt>
                <c:pt idx="59">
                  <c:v>485</c:v>
                </c:pt>
                <c:pt idx="60">
                  <c:v>496</c:v>
                </c:pt>
                <c:pt idx="61">
                  <c:v>511</c:v>
                </c:pt>
                <c:pt idx="62">
                  <c:v>517</c:v>
                </c:pt>
                <c:pt idx="63">
                  <c:v>539</c:v>
                </c:pt>
                <c:pt idx="64">
                  <c:v>566</c:v>
                </c:pt>
                <c:pt idx="65">
                  <c:v>582</c:v>
                </c:pt>
                <c:pt idx="66">
                  <c:v>589</c:v>
                </c:pt>
                <c:pt idx="67">
                  <c:v>593</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1952218224"/>
        <c:axId val="-1868152736"/>
      </c:lineChart>
      <c:dateAx>
        <c:axId val="-1952218224"/>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8152736"/>
        <c:crosses val="autoZero"/>
        <c:auto val="1"/>
        <c:lblOffset val="100"/>
        <c:baseTimeUnit val="days"/>
        <c:majorUnit val="7"/>
        <c:majorTimeUnit val="days"/>
      </c:dateAx>
      <c:valAx>
        <c:axId val="-18681527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52218224"/>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დღიურად ტესტირებულთა რ-ბა</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Sheet2!$A$2:$A$70</c:f>
              <c:strCache>
                <c:ptCount val="69"/>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pt idx="56">
                  <c:v>21.04</c:v>
                </c:pt>
                <c:pt idx="57">
                  <c:v>22.04</c:v>
                </c:pt>
                <c:pt idx="58">
                  <c:v>23.04</c:v>
                </c:pt>
                <c:pt idx="59">
                  <c:v>24.04</c:v>
                </c:pt>
                <c:pt idx="60">
                  <c:v>25.04</c:v>
                </c:pt>
                <c:pt idx="61">
                  <c:v>26.04</c:v>
                </c:pt>
                <c:pt idx="62">
                  <c:v>27.04</c:v>
                </c:pt>
                <c:pt idx="63">
                  <c:v>28.04</c:v>
                </c:pt>
                <c:pt idx="64">
                  <c:v>29.04</c:v>
                </c:pt>
                <c:pt idx="65">
                  <c:v>30.04</c:v>
                </c:pt>
                <c:pt idx="66">
                  <c:v>1.05</c:v>
                </c:pt>
                <c:pt idx="67">
                  <c:v>2.05</c:v>
                </c:pt>
                <c:pt idx="68">
                  <c:v>3.05</c:v>
                </c:pt>
              </c:strCache>
            </c:strRef>
          </c:cat>
          <c:val>
            <c:numRef>
              <c:f>Sheet2!$C$2:$C$70</c:f>
              <c:numCache>
                <c:formatCode>General</c:formatCode>
                <c:ptCount val="69"/>
                <c:pt idx="0">
                  <c:v>30</c:v>
                </c:pt>
                <c:pt idx="1">
                  <c:v>17</c:v>
                </c:pt>
                <c:pt idx="2">
                  <c:v>13</c:v>
                </c:pt>
                <c:pt idx="3">
                  <c:v>35</c:v>
                </c:pt>
                <c:pt idx="4">
                  <c:v>37</c:v>
                </c:pt>
                <c:pt idx="5">
                  <c:v>35</c:v>
                </c:pt>
                <c:pt idx="6">
                  <c:v>26</c:v>
                </c:pt>
                <c:pt idx="7">
                  <c:v>27</c:v>
                </c:pt>
                <c:pt idx="8">
                  <c:v>29</c:v>
                </c:pt>
                <c:pt idx="9">
                  <c:v>26</c:v>
                </c:pt>
                <c:pt idx="10">
                  <c:v>39</c:v>
                </c:pt>
                <c:pt idx="11">
                  <c:v>51</c:v>
                </c:pt>
                <c:pt idx="12">
                  <c:v>33</c:v>
                </c:pt>
                <c:pt idx="13">
                  <c:v>44</c:v>
                </c:pt>
                <c:pt idx="14">
                  <c:v>44</c:v>
                </c:pt>
                <c:pt idx="15">
                  <c:v>63</c:v>
                </c:pt>
                <c:pt idx="16">
                  <c:v>58</c:v>
                </c:pt>
                <c:pt idx="17">
                  <c:v>71</c:v>
                </c:pt>
                <c:pt idx="18">
                  <c:v>51</c:v>
                </c:pt>
                <c:pt idx="19">
                  <c:v>32</c:v>
                </c:pt>
                <c:pt idx="20">
                  <c:v>60</c:v>
                </c:pt>
                <c:pt idx="21">
                  <c:v>83</c:v>
                </c:pt>
                <c:pt idx="22">
                  <c:v>73</c:v>
                </c:pt>
                <c:pt idx="23">
                  <c:v>83</c:v>
                </c:pt>
                <c:pt idx="24">
                  <c:v>87</c:v>
                </c:pt>
                <c:pt idx="25">
                  <c:v>61</c:v>
                </c:pt>
                <c:pt idx="26">
                  <c:v>44</c:v>
                </c:pt>
                <c:pt idx="27">
                  <c:v>121</c:v>
                </c:pt>
                <c:pt idx="28">
                  <c:v>127</c:v>
                </c:pt>
                <c:pt idx="29">
                  <c:v>117</c:v>
                </c:pt>
                <c:pt idx="30">
                  <c:v>96</c:v>
                </c:pt>
                <c:pt idx="31">
                  <c:v>97</c:v>
                </c:pt>
                <c:pt idx="32">
                  <c:v>73</c:v>
                </c:pt>
                <c:pt idx="33">
                  <c:v>106</c:v>
                </c:pt>
                <c:pt idx="34">
                  <c:v>118</c:v>
                </c:pt>
                <c:pt idx="35">
                  <c:v>133</c:v>
                </c:pt>
                <c:pt idx="36">
                  <c:v>138</c:v>
                </c:pt>
                <c:pt idx="37">
                  <c:v>189</c:v>
                </c:pt>
                <c:pt idx="38">
                  <c:v>185</c:v>
                </c:pt>
                <c:pt idx="39">
                  <c:v>145</c:v>
                </c:pt>
                <c:pt idx="40">
                  <c:v>157</c:v>
                </c:pt>
                <c:pt idx="41">
                  <c:v>203</c:v>
                </c:pt>
                <c:pt idx="42">
                  <c:v>238</c:v>
                </c:pt>
                <c:pt idx="43">
                  <c:v>255</c:v>
                </c:pt>
                <c:pt idx="44">
                  <c:v>284</c:v>
                </c:pt>
                <c:pt idx="45">
                  <c:v>222</c:v>
                </c:pt>
                <c:pt idx="46">
                  <c:v>295</c:v>
                </c:pt>
                <c:pt idx="47">
                  <c:v>253</c:v>
                </c:pt>
                <c:pt idx="48">
                  <c:v>246</c:v>
                </c:pt>
                <c:pt idx="49">
                  <c:v>359</c:v>
                </c:pt>
                <c:pt idx="50">
                  <c:v>377</c:v>
                </c:pt>
                <c:pt idx="51">
                  <c:v>373</c:v>
                </c:pt>
                <c:pt idx="52">
                  <c:v>403</c:v>
                </c:pt>
                <c:pt idx="53">
                  <c:v>332</c:v>
                </c:pt>
                <c:pt idx="54">
                  <c:v>265</c:v>
                </c:pt>
                <c:pt idx="55">
                  <c:v>521</c:v>
                </c:pt>
                <c:pt idx="56">
                  <c:v>695</c:v>
                </c:pt>
                <c:pt idx="57">
                  <c:v>689</c:v>
                </c:pt>
                <c:pt idx="58">
                  <c:v>750</c:v>
                </c:pt>
                <c:pt idx="59">
                  <c:v>856</c:v>
                </c:pt>
                <c:pt idx="60">
                  <c:v>698</c:v>
                </c:pt>
                <c:pt idx="61">
                  <c:v>515</c:v>
                </c:pt>
                <c:pt idx="62">
                  <c:v>796</c:v>
                </c:pt>
                <c:pt idx="63">
                  <c:v>993</c:v>
                </c:pt>
                <c:pt idx="64">
                  <c:v>1104</c:v>
                </c:pt>
                <c:pt idx="65">
                  <c:v>1137</c:v>
                </c:pt>
                <c:pt idx="66">
                  <c:v>1359</c:v>
                </c:pt>
                <c:pt idx="67">
                  <c:v>1132</c:v>
                </c:pt>
                <c:pt idx="68">
                  <c:v>859</c:v>
                </c:pt>
              </c:numCache>
            </c:numRef>
          </c:val>
        </c:ser>
        <c:dLbls>
          <c:showLegendKey val="0"/>
          <c:showVal val="0"/>
          <c:showCatName val="0"/>
          <c:showSerName val="0"/>
          <c:showPercent val="0"/>
          <c:showBubbleSize val="0"/>
        </c:dLbls>
        <c:gapWidth val="219"/>
        <c:overlap val="-27"/>
        <c:axId val="-1868150560"/>
        <c:axId val="-1868144032"/>
      </c:barChart>
      <c:lineChart>
        <c:grouping val="stacked"/>
        <c:varyColors val="0"/>
        <c:ser>
          <c:idx val="0"/>
          <c:order val="0"/>
          <c:tx>
            <c:v>სულ 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19"/>
              <c:delete val="1"/>
              <c:extLst>
                <c:ext xmlns:c15="http://schemas.microsoft.com/office/drawing/2012/chart" uri="{CE6537A1-D6FC-4f65-9D91-7224C49458BB}"/>
              </c:extLst>
            </c:dLbl>
            <c:dLbl>
              <c:idx val="20"/>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2"/>
              <c:delete val="1"/>
              <c:extLst>
                <c:ext xmlns:c15="http://schemas.microsoft.com/office/drawing/2012/chart" uri="{CE6537A1-D6FC-4f65-9D91-7224C49458BB}"/>
              </c:extLst>
            </c:dLbl>
            <c:dLbl>
              <c:idx val="23"/>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5"/>
              <c:delete val="1"/>
              <c:extLst>
                <c:ext xmlns:c15="http://schemas.microsoft.com/office/drawing/2012/chart" uri="{CE6537A1-D6FC-4f65-9D91-7224C49458BB}"/>
              </c:extLst>
            </c:dLbl>
            <c:dLbl>
              <c:idx val="26"/>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28"/>
              <c:delete val="1"/>
              <c:extLst>
                <c:ext xmlns:c15="http://schemas.microsoft.com/office/drawing/2012/chart" uri="{CE6537A1-D6FC-4f65-9D91-7224C49458BB}"/>
              </c:extLst>
            </c:dLbl>
            <c:dLbl>
              <c:idx val="29"/>
              <c:delete val="1"/>
              <c:extLst>
                <c:ext xmlns:c15="http://schemas.microsoft.com/office/drawing/2012/chart" uri="{CE6537A1-D6FC-4f65-9D91-7224C49458BB}"/>
              </c:extLst>
            </c:dLbl>
            <c:dLbl>
              <c:idx val="30"/>
              <c:delete val="1"/>
              <c:extLst>
                <c:ext xmlns:c15="http://schemas.microsoft.com/office/drawing/2012/chart" uri="{CE6537A1-D6FC-4f65-9D91-7224C49458BB}"/>
              </c:extLst>
            </c:dLbl>
            <c:dLbl>
              <c:idx val="31"/>
              <c:delete val="1"/>
              <c:extLst>
                <c:ext xmlns:c15="http://schemas.microsoft.com/office/drawing/2012/chart" uri="{CE6537A1-D6FC-4f65-9D91-7224C49458BB}"/>
              </c:extLst>
            </c:dLbl>
            <c:dLbl>
              <c:idx val="32"/>
              <c:delete val="1"/>
              <c:extLst>
                <c:ext xmlns:c15="http://schemas.microsoft.com/office/drawing/2012/chart" uri="{CE6537A1-D6FC-4f65-9D91-7224C49458BB}"/>
              </c:extLst>
            </c:dLbl>
            <c:dLbl>
              <c:idx val="33"/>
              <c:delete val="1"/>
              <c:extLst>
                <c:ext xmlns:c15="http://schemas.microsoft.com/office/drawing/2012/chart" uri="{CE6537A1-D6FC-4f65-9D91-7224C49458BB}"/>
              </c:extLst>
            </c:dLbl>
            <c:dLbl>
              <c:idx val="34"/>
              <c:delete val="1"/>
              <c:extLst>
                <c:ext xmlns:c15="http://schemas.microsoft.com/office/drawing/2012/chart" uri="{CE6537A1-D6FC-4f65-9D91-7224C49458BB}"/>
              </c:extLst>
            </c:dLbl>
            <c:dLbl>
              <c:idx val="35"/>
              <c:delete val="1"/>
              <c:extLst>
                <c:ext xmlns:c15="http://schemas.microsoft.com/office/drawing/2012/chart" uri="{CE6537A1-D6FC-4f65-9D91-7224C49458BB}"/>
              </c:extLst>
            </c:dLbl>
            <c:dLbl>
              <c:idx val="36"/>
              <c:delete val="1"/>
              <c:extLst>
                <c:ext xmlns:c15="http://schemas.microsoft.com/office/drawing/2012/chart" uri="{CE6537A1-D6FC-4f65-9D91-7224C49458BB}"/>
              </c:extLst>
            </c:dLbl>
            <c:dLbl>
              <c:idx val="37"/>
              <c:delete val="1"/>
              <c:extLst>
                <c:ext xmlns:c15="http://schemas.microsoft.com/office/drawing/2012/chart" uri="{CE6537A1-D6FC-4f65-9D91-7224C49458BB}"/>
              </c:extLst>
            </c:dLbl>
            <c:dLbl>
              <c:idx val="38"/>
              <c:delete val="1"/>
              <c:extLst>
                <c:ext xmlns:c15="http://schemas.microsoft.com/office/drawing/2012/chart" uri="{CE6537A1-D6FC-4f65-9D91-7224C49458BB}"/>
              </c:extLst>
            </c:dLbl>
            <c:dLbl>
              <c:idx val="39"/>
              <c:delete val="1"/>
              <c:extLst>
                <c:ext xmlns:c15="http://schemas.microsoft.com/office/drawing/2012/chart" uri="{CE6537A1-D6FC-4f65-9D91-7224C49458BB}"/>
              </c:extLst>
            </c:dLbl>
            <c:dLbl>
              <c:idx val="40"/>
              <c:delete val="1"/>
              <c:extLst>
                <c:ext xmlns:c15="http://schemas.microsoft.com/office/drawing/2012/chart" uri="{CE6537A1-D6FC-4f65-9D91-7224C49458BB}"/>
              </c:extLst>
            </c:dLbl>
            <c:dLbl>
              <c:idx val="41"/>
              <c:delete val="1"/>
              <c:extLst>
                <c:ext xmlns:c15="http://schemas.microsoft.com/office/drawing/2012/chart" uri="{CE6537A1-D6FC-4f65-9D91-7224C49458BB}"/>
              </c:extLst>
            </c:dLbl>
            <c:dLbl>
              <c:idx val="42"/>
              <c:delete val="1"/>
              <c:extLst>
                <c:ext xmlns:c15="http://schemas.microsoft.com/office/drawing/2012/chart" uri="{CE6537A1-D6FC-4f65-9D91-7224C49458BB}"/>
              </c:extLst>
            </c:dLbl>
            <c:dLbl>
              <c:idx val="43"/>
              <c:delete val="1"/>
              <c:extLst>
                <c:ext xmlns:c15="http://schemas.microsoft.com/office/drawing/2012/chart" uri="{CE6537A1-D6FC-4f65-9D91-7224C49458BB}"/>
              </c:extLst>
            </c:dLbl>
            <c:dLbl>
              <c:idx val="44"/>
              <c:delete val="1"/>
              <c:extLst>
                <c:ext xmlns:c15="http://schemas.microsoft.com/office/drawing/2012/chart" uri="{CE6537A1-D6FC-4f65-9D91-7224C49458BB}"/>
              </c:extLst>
            </c:dLbl>
            <c:dLbl>
              <c:idx val="45"/>
              <c:delete val="1"/>
              <c:extLst>
                <c:ext xmlns:c15="http://schemas.microsoft.com/office/drawing/2012/chart" uri="{CE6537A1-D6FC-4f65-9D91-7224C49458BB}"/>
              </c:extLst>
            </c:dLbl>
            <c:dLbl>
              <c:idx val="46"/>
              <c:delete val="1"/>
              <c:extLst>
                <c:ext xmlns:c15="http://schemas.microsoft.com/office/drawing/2012/chart" uri="{CE6537A1-D6FC-4f65-9D91-7224C49458BB}"/>
              </c:extLst>
            </c:dLbl>
            <c:dLbl>
              <c:idx val="47"/>
              <c:delete val="1"/>
              <c:extLst>
                <c:ext xmlns:c15="http://schemas.microsoft.com/office/drawing/2012/chart" uri="{CE6537A1-D6FC-4f65-9D91-7224C49458BB}"/>
              </c:extLst>
            </c:dLbl>
            <c:dLbl>
              <c:idx val="48"/>
              <c:delete val="1"/>
              <c:extLst>
                <c:ext xmlns:c15="http://schemas.microsoft.com/office/drawing/2012/chart" uri="{CE6537A1-D6FC-4f65-9D91-7224C49458BB}"/>
              </c:extLst>
            </c:dLbl>
            <c:dLbl>
              <c:idx val="49"/>
              <c:delete val="1"/>
              <c:extLst>
                <c:ext xmlns:c15="http://schemas.microsoft.com/office/drawing/2012/chart" uri="{CE6537A1-D6FC-4f65-9D91-7224C49458BB}"/>
              </c:extLst>
            </c:dLbl>
            <c:dLbl>
              <c:idx val="50"/>
              <c:delete val="1"/>
              <c:extLst>
                <c:ext xmlns:c15="http://schemas.microsoft.com/office/drawing/2012/chart" uri="{CE6537A1-D6FC-4f65-9D91-7224C49458BB}"/>
              </c:extLst>
            </c:dLbl>
            <c:dLbl>
              <c:idx val="51"/>
              <c:delete val="1"/>
              <c:extLst>
                <c:ext xmlns:c15="http://schemas.microsoft.com/office/drawing/2012/chart" uri="{CE6537A1-D6FC-4f65-9D91-7224C49458BB}"/>
              </c:extLst>
            </c:dLbl>
            <c:dLbl>
              <c:idx val="52"/>
              <c:delete val="1"/>
              <c:extLst>
                <c:ext xmlns:c15="http://schemas.microsoft.com/office/drawing/2012/chart" uri="{CE6537A1-D6FC-4f65-9D91-7224C49458BB}"/>
              </c:extLst>
            </c:dLbl>
            <c:dLbl>
              <c:idx val="53"/>
              <c:delete val="1"/>
              <c:extLst>
                <c:ext xmlns:c15="http://schemas.microsoft.com/office/drawing/2012/chart" uri="{CE6537A1-D6FC-4f65-9D91-7224C49458BB}"/>
              </c:extLst>
            </c:dLbl>
            <c:dLbl>
              <c:idx val="54"/>
              <c:delete val="1"/>
              <c:extLst>
                <c:ext xmlns:c15="http://schemas.microsoft.com/office/drawing/2012/chart" uri="{CE6537A1-D6FC-4f65-9D91-7224C49458BB}"/>
              </c:extLst>
            </c:dLbl>
            <c:dLbl>
              <c:idx val="55"/>
              <c:delete val="1"/>
              <c:extLst>
                <c:ext xmlns:c15="http://schemas.microsoft.com/office/drawing/2012/chart" uri="{CE6537A1-D6FC-4f65-9D91-7224C49458BB}"/>
              </c:extLst>
            </c:dLbl>
            <c:dLbl>
              <c:idx val="56"/>
              <c:delete val="1"/>
              <c:extLst>
                <c:ext xmlns:c15="http://schemas.microsoft.com/office/drawing/2012/chart" uri="{CE6537A1-D6FC-4f65-9D91-7224C49458BB}"/>
              </c:extLst>
            </c:dLbl>
            <c:dLbl>
              <c:idx val="57"/>
              <c:delete val="1"/>
              <c:extLst>
                <c:ext xmlns:c15="http://schemas.microsoft.com/office/drawing/2012/chart" uri="{CE6537A1-D6FC-4f65-9D91-7224C49458BB}"/>
              </c:extLst>
            </c:dLbl>
            <c:dLbl>
              <c:idx val="58"/>
              <c:delete val="1"/>
              <c:extLst>
                <c:ext xmlns:c15="http://schemas.microsoft.com/office/drawing/2012/chart" uri="{CE6537A1-D6FC-4f65-9D91-7224C49458BB}"/>
              </c:extLst>
            </c:dLbl>
            <c:dLbl>
              <c:idx val="59"/>
              <c:delete val="1"/>
              <c:extLst>
                <c:ext xmlns:c15="http://schemas.microsoft.com/office/drawing/2012/chart" uri="{CE6537A1-D6FC-4f65-9D91-7224C49458BB}"/>
              </c:extLst>
            </c:dLbl>
            <c:dLbl>
              <c:idx val="60"/>
              <c:delete val="1"/>
              <c:extLst>
                <c:ext xmlns:c15="http://schemas.microsoft.com/office/drawing/2012/chart" uri="{CE6537A1-D6FC-4f65-9D91-7224C49458BB}"/>
              </c:extLst>
            </c:dLbl>
            <c:dLbl>
              <c:idx val="61"/>
              <c:delete val="1"/>
              <c:extLst>
                <c:ext xmlns:c15="http://schemas.microsoft.com/office/drawing/2012/chart" uri="{CE6537A1-D6FC-4f65-9D91-7224C49458BB}"/>
              </c:extLst>
            </c:dLbl>
            <c:dLbl>
              <c:idx val="62"/>
              <c:delete val="1"/>
              <c:extLst>
                <c:ext xmlns:c15="http://schemas.microsoft.com/office/drawing/2012/chart" uri="{CE6537A1-D6FC-4f65-9D91-7224C49458BB}"/>
              </c:extLst>
            </c:dLbl>
            <c:dLbl>
              <c:idx val="63"/>
              <c:delete val="1"/>
              <c:extLst>
                <c:ext xmlns:c15="http://schemas.microsoft.com/office/drawing/2012/chart" uri="{CE6537A1-D6FC-4f65-9D91-7224C49458BB}"/>
              </c:extLst>
            </c:dLbl>
            <c:dLbl>
              <c:idx val="64"/>
              <c:delete val="1"/>
              <c:extLst>
                <c:ext xmlns:c15="http://schemas.microsoft.com/office/drawing/2012/chart" uri="{CE6537A1-D6FC-4f65-9D91-7224C49458BB}"/>
              </c:extLst>
            </c:dLbl>
            <c:dLbl>
              <c:idx val="65"/>
              <c:delete val="1"/>
              <c:extLst>
                <c:ext xmlns:c15="http://schemas.microsoft.com/office/drawing/2012/chart" uri="{CE6537A1-D6FC-4f65-9D91-7224C49458BB}"/>
              </c:extLst>
            </c:dLbl>
            <c:dLbl>
              <c:idx val="66"/>
              <c:delete val="1"/>
              <c:extLst>
                <c:ext xmlns:c15="http://schemas.microsoft.com/office/drawing/2012/chart" uri="{CE6537A1-D6FC-4f65-9D91-7224C49458BB}"/>
              </c:extLst>
            </c:dLbl>
            <c:dLbl>
              <c:idx val="67"/>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Sheet2!$A$2:$A$70</c:f>
              <c:strCache>
                <c:ptCount val="69"/>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pt idx="56">
                  <c:v>21.04</c:v>
                </c:pt>
                <c:pt idx="57">
                  <c:v>22.04</c:v>
                </c:pt>
                <c:pt idx="58">
                  <c:v>23.04</c:v>
                </c:pt>
                <c:pt idx="59">
                  <c:v>24.04</c:v>
                </c:pt>
                <c:pt idx="60">
                  <c:v>25.04</c:v>
                </c:pt>
                <c:pt idx="61">
                  <c:v>26.04</c:v>
                </c:pt>
                <c:pt idx="62">
                  <c:v>27.04</c:v>
                </c:pt>
                <c:pt idx="63">
                  <c:v>28.04</c:v>
                </c:pt>
                <c:pt idx="64">
                  <c:v>29.04</c:v>
                </c:pt>
                <c:pt idx="65">
                  <c:v>30.04</c:v>
                </c:pt>
                <c:pt idx="66">
                  <c:v>1.05</c:v>
                </c:pt>
                <c:pt idx="67">
                  <c:v>2.05</c:v>
                </c:pt>
                <c:pt idx="68">
                  <c:v>3.05</c:v>
                </c:pt>
              </c:strCache>
            </c:strRef>
          </c:cat>
          <c:val>
            <c:numRef>
              <c:f>Sheet2!$B$2:$B$70</c:f>
              <c:numCache>
                <c:formatCode>General</c:formatCode>
                <c:ptCount val="69"/>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729</c:v>
                </c:pt>
                <c:pt idx="19">
                  <c:v>761</c:v>
                </c:pt>
                <c:pt idx="20">
                  <c:v>821</c:v>
                </c:pt>
                <c:pt idx="21">
                  <c:v>904</c:v>
                </c:pt>
                <c:pt idx="22">
                  <c:v>977</c:v>
                </c:pt>
                <c:pt idx="23">
                  <c:v>1060</c:v>
                </c:pt>
                <c:pt idx="24">
                  <c:v>1147</c:v>
                </c:pt>
                <c:pt idx="25">
                  <c:v>1208</c:v>
                </c:pt>
                <c:pt idx="26">
                  <c:v>1252</c:v>
                </c:pt>
                <c:pt idx="27">
                  <c:v>1373</c:v>
                </c:pt>
                <c:pt idx="28">
                  <c:v>1500</c:v>
                </c:pt>
                <c:pt idx="29">
                  <c:v>1617</c:v>
                </c:pt>
                <c:pt idx="30">
                  <c:v>1713</c:v>
                </c:pt>
                <c:pt idx="31">
                  <c:v>1810</c:v>
                </c:pt>
                <c:pt idx="32">
                  <c:v>1883</c:v>
                </c:pt>
                <c:pt idx="33">
                  <c:v>1989</c:v>
                </c:pt>
                <c:pt idx="34">
                  <c:v>2107</c:v>
                </c:pt>
                <c:pt idx="35">
                  <c:v>2240</c:v>
                </c:pt>
                <c:pt idx="36">
                  <c:v>2378</c:v>
                </c:pt>
                <c:pt idx="37">
                  <c:v>2567</c:v>
                </c:pt>
                <c:pt idx="38">
                  <c:v>2752</c:v>
                </c:pt>
                <c:pt idx="39">
                  <c:v>2897</c:v>
                </c:pt>
                <c:pt idx="40">
                  <c:v>3054</c:v>
                </c:pt>
                <c:pt idx="41">
                  <c:v>3257</c:v>
                </c:pt>
                <c:pt idx="42">
                  <c:v>3495</c:v>
                </c:pt>
                <c:pt idx="43">
                  <c:v>3750</c:v>
                </c:pt>
                <c:pt idx="44">
                  <c:v>4034</c:v>
                </c:pt>
                <c:pt idx="45">
                  <c:v>4256</c:v>
                </c:pt>
                <c:pt idx="46">
                  <c:v>4551</c:v>
                </c:pt>
                <c:pt idx="47">
                  <c:v>4804</c:v>
                </c:pt>
                <c:pt idx="48">
                  <c:v>5050</c:v>
                </c:pt>
                <c:pt idx="49">
                  <c:v>5409</c:v>
                </c:pt>
                <c:pt idx="50">
                  <c:v>5786</c:v>
                </c:pt>
                <c:pt idx="51">
                  <c:v>6159</c:v>
                </c:pt>
                <c:pt idx="52">
                  <c:v>6562</c:v>
                </c:pt>
                <c:pt idx="53">
                  <c:v>6894</c:v>
                </c:pt>
                <c:pt idx="54">
                  <c:v>7159</c:v>
                </c:pt>
                <c:pt idx="55">
                  <c:v>7680</c:v>
                </c:pt>
                <c:pt idx="56">
                  <c:v>8375</c:v>
                </c:pt>
                <c:pt idx="57">
                  <c:v>9064</c:v>
                </c:pt>
                <c:pt idx="58">
                  <c:v>9814</c:v>
                </c:pt>
                <c:pt idx="59">
                  <c:v>10670</c:v>
                </c:pt>
                <c:pt idx="60">
                  <c:v>11368</c:v>
                </c:pt>
                <c:pt idx="61">
                  <c:v>11883</c:v>
                </c:pt>
                <c:pt idx="62">
                  <c:v>12679</c:v>
                </c:pt>
                <c:pt idx="63">
                  <c:v>13672</c:v>
                </c:pt>
                <c:pt idx="64">
                  <c:v>14776</c:v>
                </c:pt>
                <c:pt idx="65">
                  <c:v>15913</c:v>
                </c:pt>
                <c:pt idx="66">
                  <c:v>17272</c:v>
                </c:pt>
                <c:pt idx="67">
                  <c:v>18404</c:v>
                </c:pt>
                <c:pt idx="68">
                  <c:v>19263</c:v>
                </c:pt>
              </c:numCache>
            </c:numRef>
          </c:val>
          <c:smooth val="0"/>
        </c:ser>
        <c:dLbls>
          <c:showLegendKey val="0"/>
          <c:showVal val="0"/>
          <c:showCatName val="0"/>
          <c:showSerName val="0"/>
          <c:showPercent val="0"/>
          <c:showBubbleSize val="0"/>
        </c:dLbls>
        <c:marker val="1"/>
        <c:smooth val="0"/>
        <c:axId val="-1868148928"/>
        <c:axId val="-1868137504"/>
      </c:lineChart>
      <c:catAx>
        <c:axId val="-18681489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68137504"/>
        <c:crosses val="autoZero"/>
        <c:auto val="0"/>
        <c:lblAlgn val="ctr"/>
        <c:lblOffset val="100"/>
        <c:tickLblSkip val="2"/>
        <c:tickMarkSkip val="1"/>
        <c:noMultiLvlLbl val="0"/>
      </c:catAx>
      <c:valAx>
        <c:axId val="-1868137504"/>
        <c:scaling>
          <c:orientation val="minMax"/>
          <c:max val="20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68148928"/>
        <c:crosses val="autoZero"/>
        <c:crossBetween val="between"/>
        <c:majorUnit val="1000"/>
      </c:valAx>
      <c:valAx>
        <c:axId val="-1868144032"/>
        <c:scaling>
          <c:orientation val="minMax"/>
          <c:max val="17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868150560"/>
        <c:crosses val="max"/>
        <c:crossBetween val="between"/>
        <c:majorUnit val="100"/>
      </c:valAx>
      <c:catAx>
        <c:axId val="-1868150560"/>
        <c:scaling>
          <c:orientation val="minMax"/>
        </c:scaling>
        <c:delete val="1"/>
        <c:axPos val="b"/>
        <c:numFmt formatCode="General" sourceLinked="1"/>
        <c:majorTickMark val="out"/>
        <c:minorTickMark val="none"/>
        <c:tickLblPos val="nextTo"/>
        <c:crossAx val="-1868144032"/>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5355545974620607"/>
          <c:y val="6.0191005536072597E-4"/>
          <c:w val="0.54825599249661516"/>
          <c:h val="0.10933942080769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latin typeface="Arial" panose="020B0604020202020204" pitchFamily="34" charset="0"/>
                <a:cs typeface="Arial" panose="020B0604020202020204" pitchFamily="34" charset="0"/>
              </a:rPr>
              <a:t>4</a:t>
            </a:r>
            <a:r>
              <a:rPr lang="en-US" b="1"/>
              <a:t> </a:t>
            </a:r>
            <a:r>
              <a:rPr lang="ka-GE" b="1"/>
              <a:t>მაისის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9236960020881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Sheet2!$D$66:$D$74</c:f>
              <c:strCache>
                <c:ptCount val="9"/>
                <c:pt idx="0">
                  <c:v>სამეგრელო</c:v>
                </c:pt>
                <c:pt idx="1">
                  <c:v>თბილისის ინფექციური </c:v>
                </c:pt>
                <c:pt idx="2">
                  <c:v>იმერეთი</c:v>
                </c:pt>
                <c:pt idx="3">
                  <c:v>აჭარა</c:v>
                </c:pt>
                <c:pt idx="4">
                  <c:v> ბოჭორიშვილის კლინიკა</c:v>
                </c:pt>
                <c:pt idx="5">
                  <c:v>გორის სამხედრო ჰოსპიტალი</c:v>
                </c:pt>
                <c:pt idx="6">
                  <c:v>რესპუბლიკური საავადმყოფო</c:v>
                </c:pt>
                <c:pt idx="7">
                  <c:v>პირველი საუნივერსიტეტო კლინიკა</c:v>
                </c:pt>
                <c:pt idx="8">
                  <c:v>საერთო რაოდენობა</c:v>
                </c:pt>
              </c:strCache>
            </c:strRef>
          </c:cat>
          <c:val>
            <c:numRef>
              <c:f>Sheet2!$E$66:$E$74</c:f>
              <c:numCache>
                <c:formatCode>General</c:formatCode>
                <c:ptCount val="9"/>
                <c:pt idx="0">
                  <c:v>44</c:v>
                </c:pt>
                <c:pt idx="1">
                  <c:v>0</c:v>
                </c:pt>
                <c:pt idx="2">
                  <c:v>32</c:v>
                </c:pt>
                <c:pt idx="3">
                  <c:v>17</c:v>
                </c:pt>
                <c:pt idx="4">
                  <c:v>13</c:v>
                </c:pt>
                <c:pt idx="5">
                  <c:v>3</c:v>
                </c:pt>
                <c:pt idx="6">
                  <c:v>16</c:v>
                </c:pt>
                <c:pt idx="7">
                  <c:v>6</c:v>
                </c:pt>
                <c:pt idx="8">
                  <c:v>131</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Sheet2!$D$66:$D$74</c:f>
              <c:strCache>
                <c:ptCount val="9"/>
                <c:pt idx="0">
                  <c:v>სამეგრელო</c:v>
                </c:pt>
                <c:pt idx="1">
                  <c:v>თბილისის ინფექციური </c:v>
                </c:pt>
                <c:pt idx="2">
                  <c:v>იმერეთი</c:v>
                </c:pt>
                <c:pt idx="3">
                  <c:v>აჭარა</c:v>
                </c:pt>
                <c:pt idx="4">
                  <c:v> ბოჭორიშვილის კლინიკა</c:v>
                </c:pt>
                <c:pt idx="5">
                  <c:v>გორის სამხედრო ჰოსპიტალი</c:v>
                </c:pt>
                <c:pt idx="6">
                  <c:v>რესპუბლიკური საავადმყოფო</c:v>
                </c:pt>
                <c:pt idx="7">
                  <c:v>პირველი საუნივერსიტეტო კლინიკა</c:v>
                </c:pt>
                <c:pt idx="8">
                  <c:v>საერთო რაოდენობა</c:v>
                </c:pt>
              </c:strCache>
            </c:strRef>
          </c:cat>
          <c:val>
            <c:numRef>
              <c:f>Sheet2!$F$66:$F$74</c:f>
              <c:numCache>
                <c:formatCode>General</c:formatCode>
                <c:ptCount val="9"/>
                <c:pt idx="0">
                  <c:v>50</c:v>
                </c:pt>
                <c:pt idx="1">
                  <c:v>56</c:v>
                </c:pt>
                <c:pt idx="2">
                  <c:v>51</c:v>
                </c:pt>
                <c:pt idx="3">
                  <c:v>45</c:v>
                </c:pt>
                <c:pt idx="4">
                  <c:v>71</c:v>
                </c:pt>
                <c:pt idx="5">
                  <c:v>58</c:v>
                </c:pt>
                <c:pt idx="6">
                  <c:v>54</c:v>
                </c:pt>
                <c:pt idx="7">
                  <c:v>87</c:v>
                </c:pt>
                <c:pt idx="8">
                  <c:v>472</c:v>
                </c:pt>
              </c:numCache>
            </c:numRef>
          </c:val>
        </c:ser>
        <c:dLbls>
          <c:showLegendKey val="0"/>
          <c:showVal val="0"/>
          <c:showCatName val="0"/>
          <c:showSerName val="0"/>
          <c:showPercent val="0"/>
          <c:showBubbleSize val="0"/>
        </c:dLbls>
        <c:gapWidth val="182"/>
        <c:axId val="-1868140224"/>
        <c:axId val="-1868143488"/>
      </c:barChart>
      <c:catAx>
        <c:axId val="-1868140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868143488"/>
        <c:crosses val="autoZero"/>
        <c:auto val="1"/>
        <c:lblAlgn val="ctr"/>
        <c:lblOffset val="100"/>
        <c:noMultiLvlLbl val="0"/>
      </c:catAx>
      <c:valAx>
        <c:axId val="-18681434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8140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2576-B014-4D48-A6B8-43BA8E69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5</cp:revision>
  <cp:lastPrinted>2020-03-13T13:34:00Z</cp:lastPrinted>
  <dcterms:created xsi:type="dcterms:W3CDTF">2020-05-04T05:44:00Z</dcterms:created>
  <dcterms:modified xsi:type="dcterms:W3CDTF">2020-05-04T05:47:00Z</dcterms:modified>
</cp:coreProperties>
</file>